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12 rendered teaching and end-card states across 12 active families and 14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1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states across 14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families, 12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