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21 rendered teaching and end-card states across 16 active families and 18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events, 3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states across 18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families, 17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