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Decisions required</w:t>
      </w:r>
    </w:p>
    <w:p>
      <w:pPr>
        <w:spacing w:before="0" w:after="280"/>
      </w:pPr>
      <w:r>
        <w:rPr>
          <w:b w:val="0"/>
          <w:i w:val="0"/>
          <w:color w:val="5A6B82"/>
          <w:sz w:val="20"/>
        </w:rPr>
        <w:t>Everything that needs your approval, in one place</w:t>
      </w:r>
    </w:p>
    <w:p>
      <w:pPr>
        <w:spacing w:before="0" w:after="240"/>
        <w:pBdr>
          <w:bottom w:val="single" w:sz="6" w:color="8A6D1E"/>
        </w:pBdr>
      </w:pPr>
    </w:p>
    <w:p>
      <w:pPr>
        <w:spacing w:after="80"/>
      </w:pPr>
      <w:r>
        <w:rPr>
          <w:b/>
          <w:color w:val="8A6D1E"/>
          <w:sz w:val="20"/>
        </w:rPr>
        <w:t xml:space="preserve">Generated  </w:t>
      </w:r>
      <w:r>
        <w:rPr>
          <w:sz w:val="21"/>
        </w:rPr>
        <w:t>Saturday, September 19, 2026 | 6:36 AM CT</w:t>
      </w:r>
    </w:p>
    <w:p>
      <w:pPr>
        <w:spacing w:after="80"/>
      </w:pPr>
      <w:r>
        <w:rPr>
          <w:b/>
          <w:color w:val="8A6D1E"/>
          <w:sz w:val="20"/>
        </w:rPr>
        <w:t xml:space="preserve">Items  </w:t>
      </w:r>
      <w:r>
        <w:rPr>
          <w:sz w:val="21"/>
        </w:rPr>
        <w:t>2</w:t>
      </w:r>
    </w:p>
    <w:p>
      <w:pPr>
        <w:spacing w:before="320" w:after="120"/>
        <w:keepNext w:val="1"/>
        <w:keepLines w:val="1"/>
      </w:pPr>
      <w:r>
        <w:rPr>
          <w:b/>
          <w:i w:val="0"/>
          <w:color w:val="112345"/>
          <w:sz w:val="26"/>
        </w:rPr>
        <w:t>1. V4 OPENING. RESOLVED, FOR THE RECORD.</w:t>
      </w:r>
    </w:p>
    <w:p>
      <w:pPr>
        <w:spacing w:before="0" w:after="160"/>
      </w:pPr>
      <w:r>
        <w:rPr>
          <w:b w:val="0"/>
          <w:i w:val="0"/>
          <w:sz w:val="21"/>
        </w:rPr>
        <w:t>The earlier opening asserted a measured comparison that nothing in this workspace supports. Your approved replacement is now in the master, word for word:</w:t>
      </w:r>
    </w:p>
    <w:p>
      <w:pPr>
        <w:spacing w:before="80" w:after="80"/>
      </w:pPr>
      <w:r>
        <w:rPr>
          <w:b/>
          <w:i w:val="0"/>
          <w:sz w:val="24"/>
        </w:rPr>
        <w:t>“Imagine a task that takes someone hours. Now imagine AI produces a first draft in seconds. That sounds like progress. But those hours were not always wasted.”</w:t>
      </w:r>
    </w:p>
    <w:p>
      <w:pPr>
        <w:spacing w:before="0" w:after="160"/>
      </w:pPr>
      <w:r>
        <w:rPr>
          <w:b w:val="0"/>
          <w:i w:val="0"/>
          <w:sz w:val="21"/>
        </w:rPr>
        <w:t>It is explicitly hypothetical. Nothing in this package presents it as a benchmark and no figure is attached to it. The release hold that stood on this item is lifted.</w:t>
      </w:r>
    </w:p>
    <w:p>
      <w:pPr>
        <w:spacing w:before="200" w:after="60"/>
        <w:keepNext w:val="1"/>
        <w:keepLines w:val="1"/>
      </w:pPr>
      <w:r>
        <w:rPr>
          <w:b/>
          <w:i w:val="0"/>
          <w:color w:val="8A6D1E"/>
          <w:sz w:val="17"/>
        </w:rPr>
        <w:t>WHAT DEPENDED ON IT, CHECKED RATHER THAN ASSUMED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872"/>
            <w:shd w:val="clear" w:color="auto" w:fill="F3EFE6"/>
          </w:tcPr>
          <w:p>
            <w:pPr>
              <w:spacing w:before="60" w:after="60" w:line="264" w:lineRule="auto"/>
            </w:pPr>
            <w:r/>
            <w:r>
              <w:rPr>
                <w:b/>
                <w:i w:val="0"/>
                <w:color w:val="112345"/>
                <w:sz w:val="17"/>
              </w:rPr>
            </w:r>
          </w:p>
        </w:tc>
        <w:tc>
          <w:tcPr>
            <w:tcW w:type="dxa" w:w="7776"/>
            <w:shd w:val="clear" w:color="auto" w:fill="F3EFE6"/>
          </w:tcPr>
          <w:p>
            <w:pPr>
              <w:spacing w:before="60" w:after="60" w:line="264" w:lineRule="auto"/>
            </w:pPr>
            <w:r/>
            <w:r>
              <w:rPr>
                <w:b/>
                <w:i w:val="0"/>
                <w:color w:val="112345"/>
                <w:sz w:val="17"/>
              </w:rPr>
              <w:t>EFFECT</w:t>
            </w:r>
          </w:p>
        </w:tc>
      </w:tr>
      <w:tr>
        <w:tc>
          <w:tcPr>
            <w:tcW w:type="dxa" w:w="1872"/>
          </w:tcPr>
          <w:p>
            <w:pPr>
              <w:spacing w:before="60" w:after="60" w:line="264" w:lineRule="auto"/>
            </w:pPr>
            <w:r/>
            <w:r>
              <w:rPr>
                <w:b w:val="0"/>
                <w:i w:val="0"/>
                <w:sz w:val="17"/>
              </w:rPr>
              <w:t>Spoken master</w:t>
            </w:r>
          </w:p>
        </w:tc>
        <w:tc>
          <w:tcPr>
            <w:tcW w:type="dxa" w:w="7776"/>
          </w:tcPr>
          <w:p>
            <w:pPr>
              <w:spacing w:before="60" w:after="60" w:line="264" w:lineRule="auto"/>
            </w:pPr>
            <w:r/>
            <w:r>
              <w:rPr>
                <w:b w:val="0"/>
                <w:i w:val="0"/>
                <w:sz w:val="17"/>
              </w:rPr>
              <w:t>The first hook paragraph only.</w:t>
            </w:r>
          </w:p>
        </w:tc>
      </w:tr>
      <w:tr>
        <w:tc>
          <w:tcPr>
            <w:tcW w:type="dxa" w:w="1872"/>
          </w:tcPr>
          <w:p>
            <w:pPr>
              <w:spacing w:before="60" w:after="60" w:line="264" w:lineRule="auto"/>
            </w:pPr>
            <w:r/>
            <w:r>
              <w:rPr>
                <w:b w:val="0"/>
                <w:i w:val="0"/>
                <w:sz w:val="17"/>
              </w:rPr>
              <w:t>Thought blocks</w:t>
            </w:r>
          </w:p>
        </w:tc>
        <w:tc>
          <w:tcPr>
            <w:tcW w:type="dxa" w:w="7776"/>
          </w:tcPr>
          <w:p>
            <w:pPr>
              <w:spacing w:before="60" w:after="60" w:line="264" w:lineRule="auto"/>
            </w:pPr>
            <w:r/>
            <w:r>
              <w:rPr>
                <w:b w:val="0"/>
                <w:i w:val="0"/>
                <w:sz w:val="17"/>
              </w:rPr>
              <w:t>Regenerated from the corrected master.</w:t>
            </w:r>
          </w:p>
        </w:tc>
      </w:tr>
      <w:tr>
        <w:tc>
          <w:tcPr>
            <w:tcW w:type="dxa" w:w="1872"/>
          </w:tcPr>
          <w:p>
            <w:pPr>
              <w:spacing w:before="60" w:after="60" w:line="264" w:lineRule="auto"/>
            </w:pPr>
            <w:r/>
            <w:r>
              <w:rPr>
                <w:b w:val="0"/>
                <w:i w:val="0"/>
                <w:sz w:val="17"/>
              </w:rPr>
              <w:t>Word count</w:t>
            </w:r>
          </w:p>
        </w:tc>
        <w:tc>
          <w:tcPr>
            <w:tcW w:type="dxa" w:w="7776"/>
          </w:tcPr>
          <w:p>
            <w:pPr>
              <w:spacing w:before="60" w:after="60" w:line="264" w:lineRule="auto"/>
            </w:pPr>
            <w:r/>
            <w:r>
              <w:rPr>
                <w:b w:val="0"/>
                <w:i w:val="0"/>
                <w:sz w:val="17"/>
              </w:rPr>
              <w:t>V4 is now 1,036 spoken words, recounted.</w:t>
            </w:r>
          </w:p>
        </w:tc>
      </w:tr>
      <w:tr>
        <w:tc>
          <w:tcPr>
            <w:tcW w:type="dxa" w:w="1872"/>
          </w:tcPr>
          <w:p>
            <w:pPr>
              <w:spacing w:before="60" w:after="60" w:line="264" w:lineRule="auto"/>
            </w:pPr>
            <w:r/>
            <w:r>
              <w:rPr>
                <w:b w:val="0"/>
                <w:i w:val="0"/>
                <w:sz w:val="17"/>
              </w:rPr>
              <w:t>Cards</w:t>
            </w:r>
          </w:p>
        </w:tc>
        <w:tc>
          <w:tcPr>
            <w:tcW w:type="dxa" w:w="7776"/>
          </w:tcPr>
          <w:p>
            <w:pPr>
              <w:spacing w:before="60" w:after="60" w:line="264" w:lineRule="auto"/>
            </w:pPr>
            <w:r/>
            <w:r>
              <w:rPr>
                <w:b w:val="0"/>
                <w:i w:val="0"/>
                <w:sz w:val="17"/>
              </w:rPr>
              <w:t>None. No card carried the comparison.</w:t>
            </w:r>
          </w:p>
        </w:tc>
      </w:tr>
      <w:tr>
        <w:tc>
          <w:tcPr>
            <w:tcW w:type="dxa" w:w="1872"/>
          </w:tcPr>
          <w:p>
            <w:pPr>
              <w:spacing w:before="60" w:after="60" w:line="264" w:lineRule="auto"/>
            </w:pPr>
            <w:r/>
            <w:r>
              <w:rPr>
                <w:b w:val="0"/>
                <w:i w:val="0"/>
                <w:sz w:val="17"/>
              </w:rPr>
              <w:t>Shorts</w:t>
            </w:r>
          </w:p>
        </w:tc>
        <w:tc>
          <w:tcPr>
            <w:tcW w:type="dxa" w:w="7776"/>
          </w:tcPr>
          <w:p>
            <w:pPr>
              <w:spacing w:before="60" w:after="60" w:line="264" w:lineRule="auto"/>
            </w:pPr>
            <w:r/>
            <w:r>
              <w:rPr>
                <w:b w:val="0"/>
                <w:i w:val="0"/>
                <w:sz w:val="17"/>
              </w:rPr>
              <w:t>V4 Short 1 now opens on the approved hypothetical, which is why the earlier report that no Short was affected no longer holds.</w:t>
            </w:r>
          </w:p>
        </w:tc>
      </w:tr>
      <w:tr>
        <w:tc>
          <w:tcPr>
            <w:tcW w:type="dxa" w:w="1872"/>
          </w:tcPr>
          <w:p>
            <w:pPr>
              <w:spacing w:before="60" w:after="60" w:line="264" w:lineRule="auto"/>
            </w:pPr>
            <w:r/>
            <w:r>
              <w:rPr>
                <w:b w:val="0"/>
                <w:i w:val="0"/>
                <w:sz w:val="17"/>
              </w:rPr>
              <w:t>Riverside triggers</w:t>
            </w:r>
          </w:p>
        </w:tc>
        <w:tc>
          <w:tcPr>
            <w:tcW w:type="dxa" w:w="7776"/>
          </w:tcPr>
          <w:p>
            <w:pPr>
              <w:spacing w:before="60" w:after="60" w:line="264" w:lineRule="auto"/>
            </w:pPr>
            <w:r/>
            <w:r>
              <w:rPr>
                <w:b w:val="0"/>
                <w:i w:val="0"/>
                <w:sz w:val="17"/>
              </w:rPr>
              <w:t>Two quoted the old wording and were re-pointed: the opening beat and S1's anchor, which contained “those three hours”. The Riverside prompt marks both as re-pointed rather than changing them silently.</w:t>
            </w:r>
          </w:p>
        </w:tc>
      </w:tr>
      <w:tr>
        <w:tc>
          <w:tcPr>
            <w:tcW w:type="dxa" w:w="1872"/>
          </w:tcPr>
          <w:p>
            <w:pPr>
              <w:spacing w:before="60" w:after="60" w:line="264" w:lineRule="auto"/>
            </w:pPr>
            <w:r/>
            <w:r>
              <w:rPr>
                <w:b w:val="0"/>
                <w:i w:val="0"/>
                <w:sz w:val="17"/>
              </w:rPr>
              <w:t>Description</w:t>
            </w:r>
          </w:p>
        </w:tc>
        <w:tc>
          <w:tcPr>
            <w:tcW w:type="dxa" w:w="7776"/>
          </w:tcPr>
          <w:p>
            <w:pPr>
              <w:spacing w:before="60" w:after="60" w:line="264" w:lineRule="auto"/>
            </w:pPr>
            <w:r/>
            <w:r>
              <w:rPr>
                <w:b w:val="0"/>
                <w:i w:val="0"/>
                <w:sz w:val="17"/>
              </w:rPr>
              <w:t>None. It never used the figures.</w:t>
            </w:r>
          </w:p>
        </w:tc>
      </w:tr>
    </w:tbl>
    <w:p>
      <w:pPr>
        <w:spacing w:after="120"/>
      </w:pPr>
    </w:p>
    <w:p>
      <w:pPr>
        <w:spacing w:before="320" w:after="120"/>
        <w:keepNext w:val="1"/>
        <w:keepLines w:val="1"/>
      </w:pPr>
      <w:r>
        <w:rPr>
          <w:b/>
          <w:i w:val="0"/>
          <w:color w:val="112345"/>
          <w:sz w:val="26"/>
        </w:rPr>
        <w:t>2. WATCH NEXT AVAILABILITY. STILL OPEN, STILL YOURS.</w:t>
      </w:r>
    </w:p>
    <w:p>
      <w:pPr>
        <w:spacing w:before="0" w:after="160"/>
      </w:pPr>
      <w:r>
        <w:rPr>
          <w:b w:val="0"/>
          <w:i w:val="0"/>
          <w:sz w:val="21"/>
        </w:rPr>
        <w:t>V10 points to V11 and V11 points to public V5. V11 is not published, so V10's destination cannot be live on V10's launch day unless the two publish together. Both remain flagged PENDING LIVE AVAILABILITY. No route was substituted and no publication schedule is assumed or recommended here. This is a scheduling decision, not a script change, and the exact destinations must be confirmed live before upload.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One of these two needs you: the Watch Next scheduling. Everything else in this pass is complete, and the remaining release checks are listed separately because they need the finished export or a live check, not a decision.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