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NOT PARTICIPANT-FACING</w:t>
            </w:r>
          </w:p>
          <w:p>
            <w:r>
              <w:rPr>
                <w:b/>
                <w:color w:val="FFFFFF"/>
                <w:sz w:val="40"/>
              </w:rPr>
              <w:t>Free Flagship SOP. 60-Minute Edition</w:t>
            </w:r>
          </w:p>
          <w:p>
            <w:r>
              <w:rPr>
                <w:i/>
                <w:color w:val="E3D9C4"/>
                <w:sz w:val="22"/>
              </w:rPr>
              <w:t>Stay or Leave?. Live Career Growth Assessment  ·  v2.0.11 CANDIDATE  ·  Revised Friday, September 25, 2026 at 9:10 AM CT</w:t>
            </w:r>
          </w:p>
        </w:tc>
      </w:tr>
    </w:tbl>
    <w:p>
      <w:pPr>
        <w:spacing w:after="80"/>
      </w:pPr>
    </w:p>
    <w:p>
      <w:pPr>
        <w:spacing w:after="160"/>
      </w:pPr>
      <w:r>
        <w:rPr>
          <w:b/>
          <w:i w:val="0"/>
          <w:color w:val="B00000"/>
          <w:sz w:val="21"/>
        </w:rPr>
        <w:t>PRODUCTION REVISION STAMP. Revised Friday, September 25, 2026 at 9:10 AM CT</w:t>
      </w:r>
    </w:p>
    <w:p>
      <w:pPr>
        <w:spacing w:after="160"/>
      </w:pPr>
      <w:r>
        <w:rPr>
          <w:b/>
          <w:i w:val="0"/>
          <w:color w:val="000000"/>
          <w:sz w:val="19"/>
        </w:rPr>
        <w:t>Capability_Formation_Free_Flagship_SOP_Sept23_2026_60MIN_v2.0.11_CANDIDATE</w:t>
      </w:r>
    </w:p>
    <w:p>
      <w:pPr>
        <w:spacing w:after="160"/>
      </w:pPr>
      <w:r>
        <w:rPr>
          <w:b/>
          <w:color w:val="B00000"/>
          <w:sz w:val="20"/>
        </w:rPr>
        <w:t xml:space="preserve">CANDIDATE.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60" w:after="60" w:line="40" w:lineRule="exact"/>
        <w:pBdr>
          <w:bottom w:val="single" w:sz="6" w:space="1" w:color="B8C5D9"/>
        </w:pBdr>
      </w:pPr>
    </w:p>
    <w:p>
      <w:pPr>
        <w:spacing w:before="200" w:after="10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Stay or Leave?. Live Career Growth Assessment</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Participant-facing: FREE GUIDED ASSESSMENT · 60 MINUTES. “Free Flagship” stays internal, in this family and in filenames only.</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23,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9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200" w:after="10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Pr>
                <w:b/>
                <w:color w:val="FFFFFF"/>
                <w:sz w:val="16"/>
              </w:rPr>
              <w:t>Time</w:t>
            </w:r>
          </w:p>
        </w:tc>
        <w:tc>
          <w:tcPr>
            <w:tcW w:type="dxa" w:w="2232"/>
            <w:shd w:val="clear" w:fill="0F2347"/>
          </w:tcPr>
          <w:p>
            <w:r>
              <w:rPr>
                <w:b/>
                <w:color w:val="FFFFFF"/>
                <w:sz w:val="16"/>
              </w:rPr>
              <w:t>Block</w:t>
            </w:r>
          </w:p>
        </w:tc>
        <w:tc>
          <w:tcPr>
            <w:tcW w:type="dxa" w:w="648"/>
            <w:shd w:val="clear" w:fill="0F2347"/>
          </w:tcPr>
          <w:p>
            <w:r>
              <w:rPr>
                <w:b/>
                <w:color w:val="FFFFFF"/>
                <w:sz w:val="16"/>
              </w:rPr>
              <w:t>Slides</w:t>
            </w:r>
          </w:p>
        </w:tc>
        <w:tc>
          <w:tcPr>
            <w:tcW w:type="dxa" w:w="518"/>
            <w:shd w:val="clear" w:fill="0F2347"/>
          </w:tcPr>
          <w:p>
            <w:r>
              <w:rPr>
                <w:b/>
                <w:color w:val="FFFFFF"/>
                <w:sz w:val="16"/>
              </w:rPr>
              <w:t>WB</w:t>
            </w:r>
          </w:p>
        </w:tc>
        <w:tc>
          <w:tcPr>
            <w:tcW w:type="dxa" w:w="4392"/>
            <w:shd w:val="clear" w:fill="0F2347"/>
          </w:tcPr>
          <w:p>
            <w:r>
              <w:rPr>
                <w:b/>
                <w:color w:val="FFFFFF"/>
                <w:sz w:val="16"/>
              </w:rPr>
              <w:t>Facilitator action</w:t>
            </w:r>
          </w:p>
        </w:tc>
        <w:tc>
          <w:tcPr>
            <w:tcW w:type="dxa" w:w="4104"/>
            <w:shd w:val="clear" w:fill="0F2347"/>
          </w:tcPr>
          <w:p>
            <w:r>
              <w:rPr>
                <w:b/>
                <w:color w:val="FFFFFF"/>
                <w:sz w:val="16"/>
              </w:rPr>
              <w:t>Participant action</w:t>
            </w:r>
          </w:p>
        </w:tc>
        <w:tc>
          <w:tcPr>
            <w:tcW w:type="dxa" w:w="1354"/>
            <w:shd w:val="clear" w:fill="0F2347"/>
          </w:tcPr>
          <w:p>
            <w:r>
              <w:rPr>
                <w:b/>
                <w:color w:val="FFFFFF"/>
                <w:sz w:val="16"/>
              </w:rPr>
              <w:t>Recording</w:t>
            </w:r>
          </w:p>
        </w:tc>
      </w:tr>
      <w:tr>
        <w:trPr>
          <w:cantSplit w:val="true"/>
        </w:trPr>
        <w:tc>
          <w:tcPr>
            <w:tcW w:type="dxa" w:w="1152"/>
          </w:tcPr>
          <w:p>
            <w:pPr>
              <w:spacing w:after="20"/>
            </w:pPr>
            <w:r>
              <w:rPr>
                <w:b/>
                <w:sz w:val="16"/>
              </w:rPr>
              <w:t>0:00–1:00</w:t>
            </w:r>
          </w:p>
        </w:tc>
        <w:tc>
          <w:tcPr>
            <w:tcW w:type="dxa" w:w="2232"/>
          </w:tcPr>
          <w:p>
            <w:pPr>
              <w:spacing w:after="20"/>
            </w:pPr>
            <w:r>
              <w:rPr>
                <w:sz w:val="16"/>
              </w:rPr>
              <w:t>Welcome, why this lesson, and the question</w:t>
            </w:r>
          </w:p>
        </w:tc>
        <w:tc>
          <w:tcPr>
            <w:tcW w:type="dxa" w:w="648"/>
          </w:tcPr>
          <w:p>
            <w:pPr>
              <w:spacing w:after="20"/>
            </w:pPr>
            <w:r>
              <w:rPr>
                <w:sz w:val="16"/>
              </w:rPr>
              <w:t>1–2</w:t>
            </w:r>
          </w:p>
        </w:tc>
        <w:tc>
          <w:tcPr>
            <w:tcW w:type="dxa" w:w="518"/>
          </w:tcPr>
          <w:p>
            <w:pPr>
              <w:spacing w:after="20"/>
            </w:pPr>
            <w:r>
              <w:rPr>
                <w:sz w:val="16"/>
              </w:rPr>
              <w:t xml:space="preserve">. </w:t>
            </w:r>
          </w:p>
        </w:tc>
        <w:tc>
          <w:tcPr>
            <w:tcW w:type="dxa" w:w="4392"/>
          </w:tcPr>
          <w:p>
            <w:pPr>
              <w:spacing w:after="20"/>
            </w:pPr>
            <w:r>
              <w:rPr>
                <w:sz w:val="16"/>
              </w:rPr>
              <w:t>Start the recording on slide 1. Name the session, the method and the duration. Biography is two sentences. Advance at 1:00.</w:t>
            </w:r>
          </w:p>
        </w:tc>
        <w:tc>
          <w:tcPr>
            <w:tcW w:type="dxa" w:w="4104"/>
          </w:tcPr>
          <w:p>
            <w:pPr>
              <w:spacing w:after="20"/>
            </w:pPr>
            <w:r>
              <w:rPr>
                <w:sz w:val="16"/>
              </w:rPr>
              <w:t>Listen. Nothing written yet.</w:t>
            </w:r>
          </w:p>
        </w:tc>
        <w:tc>
          <w:tcPr>
            <w:tcW w:type="dxa" w:w="1354"/>
          </w:tcPr>
          <w:p>
            <w:pPr>
              <w:spacing w:after="20"/>
            </w:pPr>
            <w:r>
              <w:rPr>
                <w:b/>
                <w:sz w:val="16"/>
              </w:rPr>
              <w:t>RECORDING ON. Start on slide 1</w:t>
            </w:r>
          </w:p>
        </w:tc>
      </w:tr>
      <w:tr>
        <w:trPr>
          <w:cantSplit w:val="true"/>
        </w:trPr>
        <w:tc>
          <w:tcPr>
            <w:tcW w:type="dxa" w:w="1152"/>
          </w:tcPr>
          <w:p>
            <w:pPr>
              <w:spacing w:after="20"/>
            </w:pPr>
            <w:r>
              <w:rPr>
                <w:b/>
                <w:sz w:val="16"/>
              </w:rPr>
              <w:t>1:00–1:50</w:t>
            </w:r>
          </w:p>
        </w:tc>
        <w:tc>
          <w:tcPr>
            <w:tcW w:type="dxa" w:w="2232"/>
          </w:tcPr>
          <w:p>
            <w:pPr>
              <w:spacing w:after="20"/>
            </w:pPr>
            <w:r>
              <w:rPr>
                <w:sz w:val="16"/>
              </w:rPr>
              <w:t>The reframe and the lived warrant</w:t>
            </w:r>
          </w:p>
        </w:tc>
        <w:tc>
          <w:tcPr>
            <w:tcW w:type="dxa" w:w="648"/>
          </w:tcPr>
          <w:p>
            <w:pPr>
              <w:spacing w:after="20"/>
            </w:pPr>
            <w:r>
              <w:rPr>
                <w:sz w:val="16"/>
              </w:rPr>
              <w:t>3</w:t>
            </w:r>
          </w:p>
        </w:tc>
        <w:tc>
          <w:tcPr>
            <w:tcW w:type="dxa" w:w="518"/>
          </w:tcPr>
          <w:p>
            <w:pPr>
              <w:spacing w:after="20"/>
            </w:pPr>
            <w:r>
              <w:rPr>
                <w:sz w:val="16"/>
              </w:rPr>
              <w:t xml:space="preserve">. </w:t>
            </w:r>
          </w:p>
        </w:tc>
        <w:tc>
          <w:tcPr>
            <w:tcW w:type="dxa" w:w="4392"/>
          </w:tcPr>
          <w:p>
            <w:pPr>
              <w:spacing w:after="20"/>
            </w:pPr>
            <w:r>
              <w:rPr>
                <w:sz w:val="16"/>
              </w:rPr>
              <w:t>Fifteen seconds on the reframe, then the audit into cybersecurity story. Recognition before terminology.</w:t>
            </w:r>
          </w:p>
        </w:tc>
        <w:tc>
          <w:tcPr>
            <w:tcW w:type="dxa" w:w="4104"/>
          </w:tcPr>
          <w:p>
            <w:pPr>
              <w:spacing w:after="20"/>
            </w:pPr>
            <w:r>
              <w:rPr>
                <w:sz w:val="16"/>
              </w:rPr>
              <w:t>Listen.</w:t>
            </w:r>
          </w:p>
        </w:tc>
        <w:tc>
          <w:tcPr>
            <w:tcW w:type="dxa" w:w="1354"/>
          </w:tcPr>
          <w:p>
            <w:pPr>
              <w:spacing w:after="20"/>
            </w:pPr>
            <w:r>
              <w:rPr>
                <w:b/>
                <w:sz w:val="16"/>
              </w:rPr>
              <w:t>RECORDING ON</w:t>
            </w:r>
          </w:p>
        </w:tc>
      </w:tr>
      <w:tr>
        <w:trPr>
          <w:cantSplit w:val="true"/>
        </w:trPr>
        <w:tc>
          <w:tcPr>
            <w:tcW w:type="dxa" w:w="1152"/>
          </w:tcPr>
          <w:p>
            <w:pPr>
              <w:spacing w:after="20"/>
            </w:pPr>
            <w:r>
              <w:rPr>
                <w:b/>
                <w:sz w:val="16"/>
              </w:rPr>
              <w:t>1:50–2:30</w:t>
            </w:r>
          </w:p>
        </w:tc>
        <w:tc>
          <w:tcPr>
            <w:tcW w:type="dxa" w:w="2232"/>
          </w:tcPr>
          <w:p>
            <w:pPr>
              <w:spacing w:after="20"/>
            </w:pPr>
            <w:r>
              <w:rPr>
                <w:sz w:val="16"/>
              </w:rPr>
              <w:t>Boundary, recording and privacy disclosure</w:t>
            </w:r>
          </w:p>
        </w:tc>
        <w:tc>
          <w:tcPr>
            <w:tcW w:type="dxa" w:w="648"/>
          </w:tcPr>
          <w:p>
            <w:pPr>
              <w:spacing w:after="20"/>
            </w:pPr>
            <w:r>
              <w:rPr>
                <w:sz w:val="16"/>
              </w:rPr>
              <w:t>4</w:t>
            </w:r>
          </w:p>
        </w:tc>
        <w:tc>
          <w:tcPr>
            <w:tcW w:type="dxa" w:w="518"/>
          </w:tcPr>
          <w:p>
            <w:pPr>
              <w:spacing w:after="20"/>
            </w:pPr>
            <w:r>
              <w:rPr>
                <w:sz w:val="16"/>
              </w:rPr>
              <w:t>1</w:t>
            </w:r>
          </w:p>
        </w:tc>
        <w:tc>
          <w:tcPr>
            <w:tcW w:type="dxa" w:w="4392"/>
          </w:tcPr>
          <w:p>
            <w:pPr>
              <w:spacing w:after="20"/>
            </w:pPr>
            <w:r>
              <w:rPr>
                <w:sz w:val="16"/>
              </w:rPr>
              <w:t>Deliver the disclosure once and do not expand it. Name the boundary. Point at the workbook. Forty seconds.</w:t>
            </w:r>
          </w:p>
        </w:tc>
        <w:tc>
          <w:tcPr>
            <w:tcW w:type="dxa" w:w="4104"/>
          </w:tcPr>
          <w:p>
            <w:pPr>
              <w:spacing w:after="20"/>
            </w:pPr>
            <w:r>
              <w:rPr>
                <w:sz w:val="16"/>
              </w:rPr>
              <w:t>Open the workbook at page 1.</w:t>
            </w:r>
          </w:p>
        </w:tc>
        <w:tc>
          <w:tcPr>
            <w:tcW w:type="dxa" w:w="1354"/>
          </w:tcPr>
          <w:p>
            <w:pPr>
              <w:spacing w:after="20"/>
            </w:pPr>
            <w:r>
              <w:rPr>
                <w:b/>
                <w:sz w:val="16"/>
              </w:rPr>
              <w:t>RECORDING ON</w:t>
            </w:r>
          </w:p>
        </w:tc>
      </w:tr>
      <w:tr>
        <w:trPr>
          <w:cantSplit w:val="true"/>
        </w:trPr>
        <w:tc>
          <w:tcPr>
            <w:tcW w:type="dxa" w:w="1152"/>
          </w:tcPr>
          <w:p>
            <w:pPr>
              <w:spacing w:after="20"/>
            </w:pPr>
            <w:r>
              <w:rPr>
                <w:b/>
                <w:sz w:val="16"/>
              </w:rPr>
              <w:t>2:30–5:00</w:t>
            </w:r>
          </w:p>
        </w:tc>
        <w:tc>
          <w:tcPr>
            <w:tcW w:type="dxa" w:w="2232"/>
          </w:tcPr>
          <w:p>
            <w:pPr>
              <w:spacing w:after="20"/>
            </w:pPr>
            <w:r>
              <w:rPr>
                <w:sz w:val="16"/>
              </w:rPr>
              <w:t>Density and Optionality</w:t>
            </w:r>
          </w:p>
        </w:tc>
        <w:tc>
          <w:tcPr>
            <w:tcW w:type="dxa" w:w="648"/>
          </w:tcPr>
          <w:p>
            <w:pPr>
              <w:spacing w:after="20"/>
            </w:pPr>
            <w:r>
              <w:rPr>
                <w:sz w:val="16"/>
              </w:rPr>
              <w:t>5–6</w:t>
            </w:r>
          </w:p>
        </w:tc>
        <w:tc>
          <w:tcPr>
            <w:tcW w:type="dxa" w:w="518"/>
          </w:tcPr>
          <w:p>
            <w:pPr>
              <w:spacing w:after="20"/>
            </w:pPr>
            <w:r>
              <w:rPr>
                <w:sz w:val="16"/>
              </w:rPr>
              <w:t xml:space="preserve">. </w:t>
            </w:r>
          </w:p>
        </w:tc>
        <w:tc>
          <w:tcPr>
            <w:tcW w:type="dxa" w:w="4392"/>
          </w:tcPr>
          <w:p>
            <w:pPr>
              <w:spacing w:after="20"/>
            </w:pPr>
            <w:r>
              <w:rPr>
                <w:sz w:val="16"/>
              </w:rPr>
              <w:t>Define each axis in ordinary language first, then name it. Seventy-five seconds each.</w:t>
            </w:r>
          </w:p>
        </w:tc>
        <w:tc>
          <w:tcPr>
            <w:tcW w:type="dxa" w:w="4104"/>
          </w:tcPr>
          <w:p>
            <w:pPr>
              <w:spacing w:after="20"/>
            </w:pPr>
            <w:r>
              <w:rPr>
                <w:sz w:val="16"/>
              </w:rPr>
              <w:t>Listen. Nothing written yet.</w:t>
            </w:r>
          </w:p>
        </w:tc>
        <w:tc>
          <w:tcPr>
            <w:tcW w:type="dxa" w:w="1354"/>
          </w:tcPr>
          <w:p>
            <w:pPr>
              <w:spacing w:after="20"/>
            </w:pPr>
            <w:r>
              <w:rPr>
                <w:b/>
                <w:sz w:val="16"/>
              </w:rPr>
              <w:t>RECORDING ON</w:t>
            </w:r>
          </w:p>
        </w:tc>
      </w:tr>
      <w:tr>
        <w:trPr>
          <w:cantSplit w:val="true"/>
        </w:trPr>
        <w:tc>
          <w:tcPr>
            <w:tcW w:type="dxa" w:w="1152"/>
          </w:tcPr>
          <w:p>
            <w:pPr>
              <w:spacing w:after="20"/>
            </w:pPr>
            <w:r>
              <w:rPr>
                <w:b/>
                <w:sz w:val="16"/>
              </w:rPr>
              <w:t>5:00–12:00</w:t>
            </w:r>
          </w:p>
        </w:tc>
        <w:tc>
          <w:tcPr>
            <w:tcW w:type="dxa" w:w="2232"/>
          </w:tcPr>
          <w:p>
            <w:pPr>
              <w:spacing w:after="20"/>
            </w:pPr>
            <w:r>
              <w:rPr>
                <w:sz w:val="16"/>
              </w:rPr>
              <w:t>Initial read of all 12 statements and totals</w:t>
            </w:r>
          </w:p>
        </w:tc>
        <w:tc>
          <w:tcPr>
            <w:tcW w:type="dxa" w:w="648"/>
          </w:tcPr>
          <w:p>
            <w:pPr>
              <w:spacing w:after="20"/>
            </w:pPr>
            <w:r>
              <w:rPr>
                <w:sz w:val="16"/>
              </w:rPr>
              <w:t>7–12</w:t>
            </w:r>
          </w:p>
        </w:tc>
        <w:tc>
          <w:tcPr>
            <w:tcW w:type="dxa" w:w="518"/>
          </w:tcPr>
          <w:p>
            <w:pPr>
              <w:spacing w:after="20"/>
            </w:pPr>
            <w:r>
              <w:rPr>
                <w:sz w:val="16"/>
              </w:rPr>
              <w:t>2–3</w:t>
            </w:r>
          </w:p>
        </w:tc>
        <w:tc>
          <w:tcPr>
            <w:tcW w:type="dxa" w:w="4392"/>
          </w:tcPr>
          <w:p>
            <w:pPr>
              <w:spacing w:after="20"/>
            </w:pPr>
            <w:r>
              <w:rPr>
                <w:sz w:val="16"/>
              </w:rPr>
              <w:t>Read each statement once, then stay silent. Do not fill the silence.</w:t>
            </w:r>
          </w:p>
        </w:tc>
        <w:tc>
          <w:tcPr>
            <w:tcW w:type="dxa" w:w="4104"/>
          </w:tcPr>
          <w:p>
            <w:pPr>
              <w:spacing w:after="20"/>
            </w:pPr>
            <w:r>
              <w:rPr>
                <w:sz w:val="16"/>
              </w:rPr>
              <w:t>Score 1 to 12 privately. Add both totals. No evidence line yet.</w:t>
            </w:r>
          </w:p>
        </w:tc>
        <w:tc>
          <w:tcPr>
            <w:tcW w:type="dxa" w:w="1354"/>
          </w:tcPr>
          <w:p>
            <w:pPr>
              <w:spacing w:after="20"/>
            </w:pPr>
            <w:r>
              <w:rPr>
                <w:b/>
                <w:sz w:val="16"/>
              </w:rPr>
              <w:t>RECORDING ON</w:t>
            </w:r>
          </w:p>
        </w:tc>
      </w:tr>
      <w:tr>
        <w:trPr>
          <w:cantSplit w:val="true"/>
        </w:trPr>
        <w:tc>
          <w:tcPr>
            <w:tcW w:type="dxa" w:w="1152"/>
          </w:tcPr>
          <w:p>
            <w:pPr>
              <w:spacing w:after="20"/>
            </w:pPr>
            <w:r>
              <w:rPr>
                <w:b/>
                <w:sz w:val="16"/>
              </w:rPr>
              <w:t>12:00–14:00</w:t>
            </w:r>
          </w:p>
        </w:tc>
        <w:tc>
          <w:tcPr>
            <w:tcW w:type="dxa" w:w="2232"/>
          </w:tcPr>
          <w:p>
            <w:pPr>
              <w:spacing w:after="20"/>
            </w:pPr>
            <w:r>
              <w:rPr>
                <w:sz w:val="16"/>
              </w:rPr>
              <w:t>The four states and a first provisional position</w:t>
            </w:r>
          </w:p>
        </w:tc>
        <w:tc>
          <w:tcPr>
            <w:tcW w:type="dxa" w:w="648"/>
          </w:tcPr>
          <w:p>
            <w:pPr>
              <w:spacing w:after="20"/>
            </w:pPr>
            <w:r>
              <w:rPr>
                <w:sz w:val="16"/>
              </w:rPr>
              <w:t>13–14</w:t>
            </w:r>
          </w:p>
        </w:tc>
        <w:tc>
          <w:tcPr>
            <w:tcW w:type="dxa" w:w="518"/>
          </w:tcPr>
          <w:p>
            <w:pPr>
              <w:spacing w:after="20"/>
            </w:pPr>
            <w:r>
              <w:rPr>
                <w:sz w:val="16"/>
              </w:rPr>
              <w:t>3</w:t>
            </w:r>
          </w:p>
        </w:tc>
        <w:tc>
          <w:tcPr>
            <w:tcW w:type="dxa" w:w="4392"/>
          </w:tcPr>
          <w:p>
            <w:pPr>
              <w:spacing w:after="20"/>
            </w:pPr>
            <w:r>
              <w:rPr>
                <w:sz w:val="16"/>
              </w:rPr>
              <w:t>Name each square once. The squares are numbered 1 to 4 by how much is accruing. Say the 17 to 21 boundary rule. Do not ask who is where.</w:t>
            </w:r>
          </w:p>
        </w:tc>
        <w:tc>
          <w:tcPr>
            <w:tcW w:type="dxa" w:w="4104"/>
          </w:tcPr>
          <w:p>
            <w:pPr>
              <w:spacing w:after="20"/>
            </w:pPr>
            <w:r>
              <w:rPr>
                <w:sz w:val="16"/>
              </w:rPr>
              <w:t>Cross the two totals. Mark a square or a boundary. Hold it lightly.</w:t>
            </w:r>
          </w:p>
        </w:tc>
        <w:tc>
          <w:tcPr>
            <w:tcW w:type="dxa" w:w="1354"/>
          </w:tcPr>
          <w:p>
            <w:pPr>
              <w:spacing w:after="20"/>
            </w:pPr>
            <w:r>
              <w:rPr>
                <w:b/>
                <w:sz w:val="16"/>
              </w:rPr>
              <w:t>RECORDING ON</w:t>
            </w:r>
          </w:p>
        </w:tc>
      </w:tr>
      <w:tr>
        <w:trPr>
          <w:cantSplit w:val="true"/>
        </w:trPr>
        <w:tc>
          <w:tcPr>
            <w:tcW w:type="dxa" w:w="1152"/>
          </w:tcPr>
          <w:p>
            <w:pPr>
              <w:spacing w:after="20"/>
            </w:pPr>
            <w:r>
              <w:rPr>
                <w:b/>
                <w:sz w:val="16"/>
              </w:rPr>
              <w:t>14:00–16:00</w:t>
            </w:r>
          </w:p>
        </w:tc>
        <w:tc>
          <w:tcPr>
            <w:tcW w:type="dxa" w:w="2232"/>
          </w:tcPr>
          <w:p>
            <w:pPr>
              <w:spacing w:after="20"/>
            </w:pPr>
            <w:r>
              <w:rPr>
                <w:sz w:val="16"/>
              </w:rPr>
              <w:t>The evidence protocol</w:t>
            </w:r>
          </w:p>
        </w:tc>
        <w:tc>
          <w:tcPr>
            <w:tcW w:type="dxa" w:w="648"/>
          </w:tcPr>
          <w:p>
            <w:pPr>
              <w:spacing w:after="20"/>
            </w:pPr>
            <w:r>
              <w:rPr>
                <w:sz w:val="16"/>
              </w:rPr>
              <w:t>15</w:t>
            </w:r>
          </w:p>
        </w:tc>
        <w:tc>
          <w:tcPr>
            <w:tcW w:type="dxa" w:w="518"/>
          </w:tcPr>
          <w:p>
            <w:pPr>
              <w:spacing w:after="20"/>
            </w:pPr>
            <w:r>
              <w:rPr>
                <w:sz w:val="16"/>
              </w:rPr>
              <w:t>4</w:t>
            </w:r>
          </w:p>
        </w:tc>
        <w:tc>
          <w:tcPr>
            <w:tcW w:type="dxa" w:w="4392"/>
          </w:tcPr>
          <w:p>
            <w:pPr>
              <w:spacing w:after="20"/>
            </w:pPr>
            <w:r>
              <w:rPr>
                <w:sz w:val="16"/>
              </w:rPr>
              <w:t>Teach the protocol. It is symmetric: low scores need evidence too.</w:t>
            </w:r>
          </w:p>
        </w:tc>
        <w:tc>
          <w:tcPr>
            <w:tcW w:type="dxa" w:w="4104"/>
          </w:tcPr>
          <w:p>
            <w:pPr>
              <w:spacing w:after="20"/>
            </w:pPr>
            <w:r>
              <w:rPr>
                <w:sz w:val="16"/>
              </w:rPr>
              <w:t>Follow along.</w:t>
            </w:r>
          </w:p>
        </w:tc>
        <w:tc>
          <w:tcPr>
            <w:tcW w:type="dxa" w:w="1354"/>
          </w:tcPr>
          <w:p>
            <w:pPr>
              <w:spacing w:after="20"/>
            </w:pPr>
            <w:r>
              <w:rPr>
                <w:b/>
                <w:sz w:val="16"/>
              </w:rPr>
              <w:t>RECORDING ON</w:t>
            </w:r>
          </w:p>
        </w:tc>
      </w:tr>
      <w:tr>
        <w:trPr>
          <w:cantSplit w:val="true"/>
        </w:trPr>
        <w:tc>
          <w:tcPr>
            <w:tcW w:type="dxa" w:w="1152"/>
          </w:tcPr>
          <w:p>
            <w:pPr>
              <w:spacing w:after="20"/>
            </w:pPr>
            <w:r>
              <w:rPr>
                <w:b/>
                <w:sz w:val="16"/>
              </w:rPr>
              <w:t>16:00–18:00</w:t>
            </w:r>
          </w:p>
        </w:tc>
        <w:tc>
          <w:tcPr>
            <w:tcW w:type="dxa" w:w="2232"/>
          </w:tcPr>
          <w:p>
            <w:pPr>
              <w:spacing w:after="20"/>
            </w:pPr>
            <w:r>
              <w:rPr>
                <w:sz w:val="16"/>
              </w:rPr>
              <w:t>Three ways a self-score goes wrong</w:t>
            </w:r>
          </w:p>
        </w:tc>
        <w:tc>
          <w:tcPr>
            <w:tcW w:type="dxa" w:w="648"/>
          </w:tcPr>
          <w:p>
            <w:pPr>
              <w:spacing w:after="20"/>
            </w:pPr>
            <w:r>
              <w:rPr>
                <w:sz w:val="16"/>
              </w:rPr>
              <w:t>16</w:t>
            </w:r>
          </w:p>
        </w:tc>
        <w:tc>
          <w:tcPr>
            <w:tcW w:type="dxa" w:w="518"/>
          </w:tcPr>
          <w:p>
            <w:pPr>
              <w:spacing w:after="20"/>
            </w:pPr>
            <w:r>
              <w:rPr>
                <w:sz w:val="16"/>
              </w:rPr>
              <w:t>4</w:t>
            </w:r>
          </w:p>
        </w:tc>
        <w:tc>
          <w:tcPr>
            <w:tcW w:type="dxa" w:w="4392"/>
          </w:tcPr>
          <w:p>
            <w:pPr>
              <w:spacing w:after="20"/>
            </w:pPr>
            <w:r>
              <w:rPr>
                <w:sz w:val="16"/>
              </w:rPr>
              <w:t>All three misreadings, forty seconds each. No questions here.</w:t>
            </w:r>
          </w:p>
        </w:tc>
        <w:tc>
          <w:tcPr>
            <w:tcW w:type="dxa" w:w="4104"/>
          </w:tcPr>
          <w:p>
            <w:pPr>
              <w:spacing w:after="20"/>
            </w:pPr>
            <w:r>
              <w:rPr>
                <w:sz w:val="16"/>
              </w:rPr>
              <w:t>Run the three checks against their own scoring.</w:t>
            </w:r>
          </w:p>
        </w:tc>
        <w:tc>
          <w:tcPr>
            <w:tcW w:type="dxa" w:w="1354"/>
          </w:tcPr>
          <w:p>
            <w:pPr>
              <w:spacing w:after="20"/>
            </w:pPr>
            <w:r>
              <w:rPr>
                <w:b/>
                <w:sz w:val="16"/>
              </w:rPr>
              <w:t>RECORDING ON</w:t>
            </w:r>
          </w:p>
        </w:tc>
      </w:tr>
      <w:tr>
        <w:trPr>
          <w:cantSplit w:val="true"/>
        </w:trPr>
        <w:tc>
          <w:tcPr>
            <w:tcW w:type="dxa" w:w="1152"/>
          </w:tcPr>
          <w:p>
            <w:pPr>
              <w:spacing w:after="20"/>
            </w:pPr>
            <w:r>
              <w:rPr>
                <w:b/>
                <w:sz w:val="16"/>
              </w:rPr>
              <w:t>18:00–30:00</w:t>
            </w:r>
          </w:p>
        </w:tc>
        <w:tc>
          <w:tcPr>
            <w:tcW w:type="dxa" w:w="2232"/>
          </w:tcPr>
          <w:p>
            <w:pPr>
              <w:spacing w:after="20"/>
            </w:pPr>
            <w:r>
              <w:rPr>
                <w:sz w:val="16"/>
              </w:rPr>
              <w:t>Evidence-backed rescore of all 12 statements. PROTECTED</w:t>
            </w:r>
          </w:p>
        </w:tc>
        <w:tc>
          <w:tcPr>
            <w:tcW w:type="dxa" w:w="648"/>
          </w:tcPr>
          <w:p>
            <w:pPr>
              <w:spacing w:after="20"/>
            </w:pPr>
            <w:r>
              <w:rPr>
                <w:sz w:val="16"/>
              </w:rPr>
              <w:t>17</w:t>
            </w:r>
          </w:p>
        </w:tc>
        <w:tc>
          <w:tcPr>
            <w:tcW w:type="dxa" w:w="518"/>
          </w:tcPr>
          <w:p>
            <w:pPr>
              <w:spacing w:after="20"/>
            </w:pPr>
            <w:r>
              <w:rPr>
                <w:sz w:val="16"/>
              </w:rPr>
              <w:t>5–6</w:t>
            </w:r>
          </w:p>
        </w:tc>
        <w:tc>
          <w:tcPr>
            <w:tcW w:type="dxa" w:w="4392"/>
          </w:tcPr>
          <w:p>
            <w:pPr>
              <w:spacing w:after="20"/>
            </w:pPr>
            <w:r>
              <w:rPr>
                <w:sz w:val="16"/>
              </w:rPr>
              <w:t>Hold this slide and stay silent. Midpoint cue at about 24:00. Two-minute warning at 28:00, thirty-second warning at 29:30.</w:t>
            </w:r>
          </w:p>
        </w:tc>
        <w:tc>
          <w:tcPr>
            <w:tcW w:type="dxa" w:w="4104"/>
          </w:tcPr>
          <w:p>
            <w:pPr>
              <w:spacing w:after="20"/>
            </w:pPr>
            <w:r>
              <w:rPr>
                <w:sz w:val="16"/>
              </w:rPr>
              <w:t>Rescore all twelve with a short evidence phrase for each.</w:t>
            </w:r>
          </w:p>
        </w:tc>
        <w:tc>
          <w:tcPr>
            <w:tcW w:type="dxa" w:w="1354"/>
          </w:tcPr>
          <w:p>
            <w:pPr>
              <w:spacing w:after="20"/>
            </w:pPr>
            <w:r>
              <w:rPr>
                <w:b/>
                <w:sz w:val="16"/>
              </w:rPr>
              <w:t>RECORDING ON</w:t>
            </w:r>
          </w:p>
        </w:tc>
      </w:tr>
      <w:tr>
        <w:trPr>
          <w:cantSplit w:val="true"/>
        </w:trPr>
        <w:tc>
          <w:tcPr>
            <w:tcW w:type="dxa" w:w="1152"/>
          </w:tcPr>
          <w:p>
            <w:pPr>
              <w:spacing w:after="20"/>
            </w:pPr>
            <w:r>
              <w:rPr>
                <w:b/>
                <w:sz w:val="16"/>
              </w:rPr>
              <w:t>30:00–33:00</w:t>
            </w:r>
          </w:p>
        </w:tc>
        <w:tc>
          <w:tcPr>
            <w:tcW w:type="dxa" w:w="2232"/>
          </w:tcPr>
          <w:p>
            <w:pPr>
              <w:spacing w:after="20"/>
            </w:pPr>
            <w:r>
              <w:rPr>
                <w:sz w:val="16"/>
              </w:rPr>
              <w:t>Corrected totals, sensitivity and corrected position</w:t>
            </w:r>
          </w:p>
        </w:tc>
        <w:tc>
          <w:tcPr>
            <w:tcW w:type="dxa" w:w="648"/>
          </w:tcPr>
          <w:p>
            <w:pPr>
              <w:spacing w:after="20"/>
            </w:pPr>
            <w:r>
              <w:rPr>
                <w:sz w:val="16"/>
              </w:rPr>
              <w:t>18–20</w:t>
            </w:r>
          </w:p>
        </w:tc>
        <w:tc>
          <w:tcPr>
            <w:tcW w:type="dxa" w:w="518"/>
          </w:tcPr>
          <w:p>
            <w:pPr>
              <w:spacing w:after="20"/>
            </w:pPr>
            <w:r>
              <w:rPr>
                <w:sz w:val="16"/>
              </w:rPr>
              <w:t>5–7</w:t>
            </w:r>
          </w:p>
        </w:tc>
        <w:tc>
          <w:tcPr>
            <w:tcW w:type="dxa" w:w="4392"/>
          </w:tcPr>
          <w:p>
            <w:pPr>
              <w:spacing w:after="20"/>
            </w:pPr>
            <w:r>
              <w:rPr>
                <w:sz w:val="16"/>
              </w:rPr>
              <w:t>Insist on the re-total. Run the sensitivity check. A boundary reading is a legitimate result.</w:t>
            </w:r>
          </w:p>
        </w:tc>
        <w:tc>
          <w:tcPr>
            <w:tcW w:type="dxa" w:w="4104"/>
          </w:tcPr>
          <w:p>
            <w:pPr>
              <w:spacing w:after="20"/>
            </w:pPr>
            <w:r>
              <w:rPr>
                <w:sz w:val="16"/>
              </w:rPr>
              <w:t>Re-total both axes. Run sensitivity if 1 to 2 items are marked. Place again and rate confidence.</w:t>
            </w:r>
          </w:p>
        </w:tc>
        <w:tc>
          <w:tcPr>
            <w:tcW w:type="dxa" w:w="1354"/>
          </w:tcPr>
          <w:p>
            <w:pPr>
              <w:spacing w:after="20"/>
            </w:pPr>
            <w:r>
              <w:rPr>
                <w:b/>
                <w:sz w:val="16"/>
              </w:rPr>
              <w:t>RECORDING ON</w:t>
            </w:r>
          </w:p>
        </w:tc>
      </w:tr>
    </w:tbl>
    <w:p>
      <w:pPr>
        <w:spacing w:after="0"/>
      </w:pPr>
      <w:r>
        <w:br w:type="page"/>
      </w:r>
    </w:p>
    <w:p>
      <w:pPr>
        <w:spacing w:before="200" w:after="100"/>
      </w:pPr>
      <w:r>
        <w:rPr>
          <w:b/>
          <w:color w:val="0F2347"/>
          <w:sz w:val="32"/>
        </w:rPr>
        <w:t>Master reconciliation table.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Pr>
                <w:b/>
                <w:color w:val="FFFFFF"/>
                <w:sz w:val="16"/>
              </w:rPr>
              <w:t>Time</w:t>
            </w:r>
          </w:p>
        </w:tc>
        <w:tc>
          <w:tcPr>
            <w:tcW w:type="dxa" w:w="2232"/>
            <w:shd w:val="clear" w:fill="0F2347"/>
          </w:tcPr>
          <w:p>
            <w:r>
              <w:rPr>
                <w:b/>
                <w:color w:val="FFFFFF"/>
                <w:sz w:val="16"/>
              </w:rPr>
              <w:t>Block</w:t>
            </w:r>
          </w:p>
        </w:tc>
        <w:tc>
          <w:tcPr>
            <w:tcW w:type="dxa" w:w="648"/>
            <w:shd w:val="clear" w:fill="0F2347"/>
          </w:tcPr>
          <w:p>
            <w:r>
              <w:rPr>
                <w:b/>
                <w:color w:val="FFFFFF"/>
                <w:sz w:val="16"/>
              </w:rPr>
              <w:t>Slides</w:t>
            </w:r>
          </w:p>
        </w:tc>
        <w:tc>
          <w:tcPr>
            <w:tcW w:type="dxa" w:w="518"/>
            <w:shd w:val="clear" w:fill="0F2347"/>
          </w:tcPr>
          <w:p>
            <w:r>
              <w:rPr>
                <w:b/>
                <w:color w:val="FFFFFF"/>
                <w:sz w:val="16"/>
              </w:rPr>
              <w:t>WB</w:t>
            </w:r>
          </w:p>
        </w:tc>
        <w:tc>
          <w:tcPr>
            <w:tcW w:type="dxa" w:w="4392"/>
            <w:shd w:val="clear" w:fill="0F2347"/>
          </w:tcPr>
          <w:p>
            <w:r>
              <w:rPr>
                <w:b/>
                <w:color w:val="FFFFFF"/>
                <w:sz w:val="16"/>
              </w:rPr>
              <w:t>Facilitator action</w:t>
            </w:r>
          </w:p>
        </w:tc>
        <w:tc>
          <w:tcPr>
            <w:tcW w:type="dxa" w:w="4104"/>
            <w:shd w:val="clear" w:fill="0F2347"/>
          </w:tcPr>
          <w:p>
            <w:r>
              <w:rPr>
                <w:b/>
                <w:color w:val="FFFFFF"/>
                <w:sz w:val="16"/>
              </w:rPr>
              <w:t>Participant action</w:t>
            </w:r>
          </w:p>
        </w:tc>
        <w:tc>
          <w:tcPr>
            <w:tcW w:type="dxa" w:w="1354"/>
            <w:shd w:val="clear" w:fill="0F2347"/>
          </w:tcPr>
          <w:p>
            <w:r>
              <w:rPr>
                <w:b/>
                <w:color w:val="FFFFFF"/>
                <w:sz w:val="16"/>
              </w:rPr>
              <w:t>Recording</w:t>
            </w:r>
          </w:p>
        </w:tc>
      </w:tr>
      <w:tr>
        <w:trPr>
          <w:cantSplit w:val="true"/>
        </w:trPr>
        <w:tc>
          <w:tcPr>
            <w:tcW w:type="dxa" w:w="1152"/>
          </w:tcPr>
          <w:p>
            <w:pPr>
              <w:spacing w:after="20"/>
            </w:pPr>
            <w:r>
              <w:rPr>
                <w:b/>
                <w:sz w:val="16"/>
              </w:rPr>
              <w:t>33:00–36:00</w:t>
            </w:r>
          </w:p>
        </w:tc>
        <w:tc>
          <w:tcPr>
            <w:tcW w:type="dxa" w:w="2232"/>
          </w:tcPr>
          <w:p>
            <w:pPr>
              <w:spacing w:after="20"/>
            </w:pPr>
            <w:r>
              <w:rPr>
                <w:sz w:val="16"/>
              </w:rPr>
              <w:t>Four states and their immediate costs</w:t>
            </w:r>
          </w:p>
        </w:tc>
        <w:tc>
          <w:tcPr>
            <w:tcW w:type="dxa" w:w="648"/>
          </w:tcPr>
          <w:p>
            <w:pPr>
              <w:spacing w:after="20"/>
            </w:pPr>
            <w:r>
              <w:rPr>
                <w:sz w:val="16"/>
              </w:rPr>
              <w:t>21</w:t>
            </w:r>
          </w:p>
        </w:tc>
        <w:tc>
          <w:tcPr>
            <w:tcW w:type="dxa" w:w="518"/>
          </w:tcPr>
          <w:p>
            <w:pPr>
              <w:spacing w:after="20"/>
            </w:pPr>
            <w:r>
              <w:rPr>
                <w:sz w:val="16"/>
              </w:rPr>
              <w:t xml:space="preserve">. </w:t>
            </w:r>
          </w:p>
        </w:tc>
        <w:tc>
          <w:tcPr>
            <w:tcW w:type="dxa" w:w="4392"/>
          </w:tcPr>
          <w:p>
            <w:pPr>
              <w:spacing w:after="20"/>
            </w:pPr>
            <w:r>
              <w:rPr>
                <w:sz w:val="16"/>
              </w:rPr>
              <w:t>The block climbs: Stagnant, Depth Trap, Fragile, Compounding. Forty-five seconds per state. Do not deepen one for the room.</w:t>
            </w:r>
          </w:p>
        </w:tc>
        <w:tc>
          <w:tcPr>
            <w:tcW w:type="dxa" w:w="4104"/>
          </w:tcPr>
          <w:p>
            <w:pPr>
              <w:spacing w:after="20"/>
            </w:pPr>
            <w:r>
              <w:rPr>
                <w:sz w:val="16"/>
              </w:rPr>
              <w:t>Listen. Read their own square's cost.</w:t>
            </w:r>
          </w:p>
        </w:tc>
        <w:tc>
          <w:tcPr>
            <w:tcW w:type="dxa" w:w="1354"/>
          </w:tcPr>
          <w:p>
            <w:pPr>
              <w:spacing w:after="20"/>
            </w:pPr>
            <w:r>
              <w:rPr>
                <w:b/>
                <w:sz w:val="16"/>
              </w:rPr>
              <w:t>RECORDING ON</w:t>
            </w:r>
          </w:p>
        </w:tc>
      </w:tr>
      <w:tr>
        <w:trPr>
          <w:cantSplit w:val="true"/>
        </w:trPr>
        <w:tc>
          <w:tcPr>
            <w:tcW w:type="dxa" w:w="1152"/>
          </w:tcPr>
          <w:p>
            <w:pPr>
              <w:spacing w:after="20"/>
            </w:pPr>
            <w:r>
              <w:rPr>
                <w:b/>
                <w:sz w:val="16"/>
              </w:rPr>
              <w:t>36:00–39:00</w:t>
            </w:r>
          </w:p>
        </w:tc>
        <w:tc>
          <w:tcPr>
            <w:tcW w:type="dxa" w:w="2232"/>
          </w:tcPr>
          <w:p>
            <w:pPr>
              <w:spacing w:after="20"/>
            </w:pPr>
            <w:r>
              <w:rPr>
                <w:sz w:val="16"/>
              </w:rPr>
              <w:t>Signals Worth Watching</w:t>
            </w:r>
          </w:p>
        </w:tc>
        <w:tc>
          <w:tcPr>
            <w:tcW w:type="dxa" w:w="648"/>
          </w:tcPr>
          <w:p>
            <w:pPr>
              <w:spacing w:after="20"/>
            </w:pPr>
            <w:r>
              <w:rPr>
                <w:sz w:val="16"/>
              </w:rPr>
              <w:t>22–24</w:t>
            </w:r>
          </w:p>
        </w:tc>
        <w:tc>
          <w:tcPr>
            <w:tcW w:type="dxa" w:w="518"/>
          </w:tcPr>
          <w:p>
            <w:pPr>
              <w:spacing w:after="20"/>
            </w:pPr>
            <w:r>
              <w:rPr>
                <w:sz w:val="16"/>
              </w:rPr>
              <w:t xml:space="preserve">. </w:t>
            </w:r>
          </w:p>
        </w:tc>
        <w:tc>
          <w:tcPr>
            <w:tcW w:type="dxa" w:w="4392"/>
          </w:tcPr>
          <w:p>
            <w:pPr>
              <w:spacing w:after="20"/>
            </w:pPr>
            <w:r>
              <w:rPr>
                <w:sz w:val="16"/>
              </w:rPr>
              <w:t>Sixty seconds per slide. Frame, then the role signals, then the signals when things feel fine. Questions to investigate, never predictions.</w:t>
            </w:r>
          </w:p>
        </w:tc>
        <w:tc>
          <w:tcPr>
            <w:tcW w:type="dxa" w:w="4104"/>
          </w:tcPr>
          <w:p>
            <w:pPr>
              <w:spacing w:after="20"/>
            </w:pPr>
            <w:r>
              <w:rPr>
                <w:sz w:val="16"/>
              </w:rPr>
              <w:t>Listen. Choose two signals to watch.</w:t>
            </w:r>
          </w:p>
        </w:tc>
        <w:tc>
          <w:tcPr>
            <w:tcW w:type="dxa" w:w="1354"/>
          </w:tcPr>
          <w:p>
            <w:pPr>
              <w:spacing w:after="20"/>
            </w:pPr>
            <w:r>
              <w:rPr>
                <w:b/>
                <w:sz w:val="16"/>
              </w:rPr>
              <w:t>RECORDING ON</w:t>
            </w:r>
          </w:p>
        </w:tc>
      </w:tr>
      <w:tr>
        <w:trPr>
          <w:cantSplit w:val="true"/>
        </w:trPr>
        <w:tc>
          <w:tcPr>
            <w:tcW w:type="dxa" w:w="1152"/>
          </w:tcPr>
          <w:p>
            <w:pPr>
              <w:spacing w:after="20"/>
            </w:pPr>
            <w:r>
              <w:rPr>
                <w:b/>
                <w:sz w:val="16"/>
              </w:rPr>
              <w:t>39:00–42:00</w:t>
            </w:r>
          </w:p>
        </w:tc>
        <w:tc>
          <w:tcPr>
            <w:tcW w:type="dxa" w:w="2232"/>
          </w:tcPr>
          <w:p>
            <w:pPr>
              <w:spacing w:after="20"/>
            </w:pPr>
            <w:r>
              <w:rPr>
                <w:sz w:val="16"/>
              </w:rPr>
              <w:t>Seven categories of move</w:t>
            </w:r>
          </w:p>
        </w:tc>
        <w:tc>
          <w:tcPr>
            <w:tcW w:type="dxa" w:w="648"/>
          </w:tcPr>
          <w:p>
            <w:pPr>
              <w:spacing w:after="20"/>
            </w:pPr>
            <w:r>
              <w:rPr>
                <w:sz w:val="16"/>
              </w:rPr>
              <w:t>25</w:t>
            </w:r>
          </w:p>
        </w:tc>
        <w:tc>
          <w:tcPr>
            <w:tcW w:type="dxa" w:w="518"/>
          </w:tcPr>
          <w:p>
            <w:pPr>
              <w:spacing w:after="20"/>
            </w:pPr>
            <w:r>
              <w:rPr>
                <w:sz w:val="16"/>
              </w:rPr>
              <w:t>8</w:t>
            </w:r>
          </w:p>
        </w:tc>
        <w:tc>
          <w:tcPr>
            <w:tcW w:type="dxa" w:w="4392"/>
          </w:tcPr>
          <w:p>
            <w:pPr>
              <w:spacing w:after="20"/>
            </w:pPr>
            <w:r>
              <w:rPr>
                <w:sz w:val="16"/>
              </w:rPr>
              <w:t>Read each category and its one-line reading. About twenty-five seconds each. Direction, not a plan.</w:t>
            </w:r>
          </w:p>
        </w:tc>
        <w:tc>
          <w:tcPr>
            <w:tcW w:type="dxa" w:w="4104"/>
          </w:tcPr>
          <w:p>
            <w:pPr>
              <w:spacing w:after="20"/>
            </w:pPr>
            <w:r>
              <w:rPr>
                <w:sz w:val="16"/>
              </w:rPr>
              <w:t>Identify the category their evidence supports testing.</w:t>
            </w:r>
          </w:p>
        </w:tc>
        <w:tc>
          <w:tcPr>
            <w:tcW w:type="dxa" w:w="1354"/>
          </w:tcPr>
          <w:p>
            <w:pPr>
              <w:spacing w:after="20"/>
            </w:pPr>
            <w:r>
              <w:rPr>
                <w:b/>
                <w:sz w:val="16"/>
              </w:rPr>
              <w:t>RECORDING ON</w:t>
            </w:r>
          </w:p>
        </w:tc>
      </w:tr>
      <w:tr>
        <w:trPr>
          <w:cantSplit w:val="true"/>
        </w:trPr>
        <w:tc>
          <w:tcPr>
            <w:tcW w:type="dxa" w:w="1152"/>
          </w:tcPr>
          <w:p>
            <w:pPr>
              <w:spacing w:after="20"/>
            </w:pPr>
            <w:r>
              <w:rPr>
                <w:b/>
                <w:sz w:val="16"/>
              </w:rPr>
              <w:t>42:00–46:00</w:t>
            </w:r>
          </w:p>
        </w:tc>
        <w:tc>
          <w:tcPr>
            <w:tcW w:type="dxa" w:w="2232"/>
          </w:tcPr>
          <w:p>
            <w:pPr>
              <w:spacing w:after="20"/>
            </w:pPr>
            <w:r>
              <w:rPr>
                <w:sz w:val="16"/>
              </w:rPr>
              <w:t>Complete the Next-Move Note</w:t>
            </w:r>
          </w:p>
        </w:tc>
        <w:tc>
          <w:tcPr>
            <w:tcW w:type="dxa" w:w="648"/>
          </w:tcPr>
          <w:p>
            <w:pPr>
              <w:spacing w:after="20"/>
            </w:pPr>
            <w:r>
              <w:rPr>
                <w:sz w:val="16"/>
              </w:rPr>
              <w:t>26</w:t>
            </w:r>
          </w:p>
        </w:tc>
        <w:tc>
          <w:tcPr>
            <w:tcW w:type="dxa" w:w="518"/>
          </w:tcPr>
          <w:p>
            <w:pPr>
              <w:spacing w:after="20"/>
            </w:pPr>
            <w:r>
              <w:rPr>
                <w:sz w:val="16"/>
              </w:rPr>
              <w:t>8</w:t>
            </w:r>
          </w:p>
        </w:tc>
        <w:tc>
          <w:tcPr>
            <w:tcW w:type="dxa" w:w="4392"/>
          </w:tcPr>
          <w:p>
            <w:pPr>
              <w:spacing w:after="20"/>
            </w:pPr>
            <w:r>
              <w:rPr>
                <w:sz w:val="16"/>
              </w:rPr>
              <w:t>Read the four portability questions once, read the prompts once, then stop talking. Sixty-second warning at 45:00.</w:t>
            </w:r>
          </w:p>
        </w:tc>
        <w:tc>
          <w:tcPr>
            <w:tcW w:type="dxa" w:w="4104"/>
          </w:tcPr>
          <w:p>
            <w:pPr>
              <w:spacing w:after="20"/>
            </w:pPr>
            <w:r>
              <w:rPr>
                <w:sz w:val="16"/>
              </w:rPr>
              <w:t>Write the three lines and name two signals to watch.</w:t>
            </w:r>
          </w:p>
        </w:tc>
        <w:tc>
          <w:tcPr>
            <w:tcW w:type="dxa" w:w="1354"/>
          </w:tcPr>
          <w:p>
            <w:pPr>
              <w:spacing w:after="20"/>
            </w:pPr>
            <w:r>
              <w:rPr>
                <w:b/>
                <w:sz w:val="16"/>
              </w:rPr>
              <w:t>RECORDING ON</w:t>
            </w:r>
          </w:p>
        </w:tc>
      </w:tr>
      <w:tr>
        <w:trPr>
          <w:cantSplit w:val="true"/>
        </w:trPr>
        <w:tc>
          <w:tcPr>
            <w:tcW w:type="dxa" w:w="1152"/>
          </w:tcPr>
          <w:p>
            <w:pPr>
              <w:spacing w:after="20"/>
            </w:pPr>
            <w:r>
              <w:rPr>
                <w:b/>
                <w:sz w:val="16"/>
              </w:rPr>
              <w:t>46:00–48:00</w:t>
            </w:r>
          </w:p>
        </w:tc>
        <w:tc>
          <w:tcPr>
            <w:tcW w:type="dxa" w:w="2232"/>
          </w:tcPr>
          <w:p>
            <w:pPr>
              <w:spacing w:after="20"/>
            </w:pPr>
            <w:r>
              <w:rPr>
                <w:sz w:val="16"/>
              </w:rPr>
              <w:t>Continuation routes and the Field Kit</w:t>
            </w:r>
          </w:p>
        </w:tc>
        <w:tc>
          <w:tcPr>
            <w:tcW w:type="dxa" w:w="648"/>
          </w:tcPr>
          <w:p>
            <w:pPr>
              <w:spacing w:after="20"/>
            </w:pPr>
            <w:r>
              <w:rPr>
                <w:sz w:val="16"/>
              </w:rPr>
              <w:t>27–28</w:t>
            </w:r>
          </w:p>
        </w:tc>
        <w:tc>
          <w:tcPr>
            <w:tcW w:type="dxa" w:w="518"/>
          </w:tcPr>
          <w:p>
            <w:pPr>
              <w:spacing w:after="20"/>
            </w:pPr>
            <w:r>
              <w:rPr>
                <w:sz w:val="16"/>
              </w:rPr>
              <w:t>8</w:t>
            </w:r>
          </w:p>
        </w:tc>
        <w:tc>
          <w:tcPr>
            <w:tcW w:type="dxa" w:w="4392"/>
          </w:tcPr>
          <w:p>
            <w:pPr>
              <w:spacing w:after="20"/>
            </w:pPr>
            <w:r>
              <w:rPr>
                <w:sz w:val="16"/>
              </w:rPr>
              <w:t>Two routes, sixty seconds each, no pressure. This is the first place to take time from if you are behind.</w:t>
            </w:r>
          </w:p>
        </w:tc>
        <w:tc>
          <w:tcPr>
            <w:tcW w:type="dxa" w:w="4104"/>
          </w:tcPr>
          <w:p>
            <w:pPr>
              <w:spacing w:after="20"/>
            </w:pPr>
            <w:r>
              <w:rPr>
                <w:sz w:val="16"/>
              </w:rPr>
              <w:t>Choose a route, or none.</w:t>
            </w:r>
          </w:p>
        </w:tc>
        <w:tc>
          <w:tcPr>
            <w:tcW w:type="dxa" w:w="1354"/>
          </w:tcPr>
          <w:p>
            <w:pPr>
              <w:spacing w:after="20"/>
            </w:pPr>
            <w:r>
              <w:rPr>
                <w:b/>
                <w:sz w:val="16"/>
              </w:rPr>
              <w:t>RECORDING ON</w:t>
            </w:r>
          </w:p>
        </w:tc>
      </w:tr>
      <w:tr>
        <w:trPr>
          <w:cantSplit w:val="true"/>
        </w:trPr>
        <w:tc>
          <w:tcPr>
            <w:tcW w:type="dxa" w:w="1152"/>
          </w:tcPr>
          <w:p>
            <w:pPr>
              <w:spacing w:after="20"/>
            </w:pPr>
            <w:r>
              <w:rPr>
                <w:b/>
                <w:sz w:val="16"/>
              </w:rPr>
              <w:t>48:00–50:00</w:t>
            </w:r>
          </w:p>
        </w:tc>
        <w:tc>
          <w:tcPr>
            <w:tcW w:type="dxa" w:w="2232"/>
          </w:tcPr>
          <w:p>
            <w:pPr>
              <w:spacing w:after="20"/>
            </w:pPr>
            <w:r>
              <w:rPr>
                <w:sz w:val="16"/>
              </w:rPr>
              <w:t>Evergreen close, buffer and recording stop</w:t>
            </w:r>
          </w:p>
        </w:tc>
        <w:tc>
          <w:tcPr>
            <w:tcW w:type="dxa" w:w="648"/>
          </w:tcPr>
          <w:p>
            <w:pPr>
              <w:spacing w:after="20"/>
            </w:pPr>
            <w:r>
              <w:rPr>
                <w:sz w:val="16"/>
              </w:rPr>
              <w:t>close slide</w:t>
            </w:r>
          </w:p>
        </w:tc>
        <w:tc>
          <w:tcPr>
            <w:tcW w:type="dxa" w:w="518"/>
          </w:tcPr>
          <w:p>
            <w:pPr>
              <w:spacing w:after="20"/>
            </w:pPr>
            <w:r>
              <w:rPr>
                <w:sz w:val="16"/>
              </w:rPr>
              <w:t>8</w:t>
            </w:r>
          </w:p>
        </w:tc>
        <w:tc>
          <w:tcPr>
            <w:tcW w:type="dxa" w:w="4392"/>
          </w:tcPr>
          <w:p>
            <w:pPr>
              <w:spacing w:after="20"/>
            </w:pPr>
            <w:r>
              <w:rPr>
                <w:sz w:val="16"/>
              </w:rPr>
              <w:t>Deliver the close 48:00–49:00. Hold the slide 49:00–50:00 as buffer. At 50:00 STOP the recording and verify on screen.</w:t>
            </w:r>
          </w:p>
        </w:tc>
        <w:tc>
          <w:tcPr>
            <w:tcW w:type="dxa" w:w="4104"/>
          </w:tcPr>
          <w:p>
            <w:pPr>
              <w:spacing w:after="20"/>
            </w:pPr>
            <w:r>
              <w:rPr>
                <w:sz w:val="16"/>
              </w:rPr>
              <w:t>Finish writing. Set a rescore date.</w:t>
            </w:r>
          </w:p>
        </w:tc>
        <w:tc>
          <w:tcPr>
            <w:tcW w:type="dxa" w:w="1354"/>
          </w:tcPr>
          <w:p>
            <w:pPr>
              <w:spacing w:after="20"/>
            </w:pPr>
            <w:r>
              <w:rPr>
                <w:b/>
                <w:sz w:val="16"/>
              </w:rPr>
              <w:t>RECORDING ON, STOPS AT 50:00</w:t>
            </w:r>
          </w:p>
        </w:tc>
      </w:tr>
      <w:tr>
        <w:trPr>
          <w:cantSplit w:val="true"/>
        </w:trPr>
        <w:tc>
          <w:tcPr>
            <w:tcW w:type="dxa" w:w="1152"/>
          </w:tcPr>
          <w:p>
            <w:pPr>
              <w:spacing w:after="20"/>
            </w:pPr>
            <w:r>
              <w:rPr>
                <w:b/>
                <w:sz w:val="16"/>
              </w:rPr>
              <w:t>50:00–60:00</w:t>
            </w:r>
          </w:p>
        </w:tc>
        <w:tc>
          <w:tcPr>
            <w:tcW w:type="dxa" w:w="2232"/>
          </w:tcPr>
          <w:p>
            <w:pPr>
              <w:spacing w:after="20"/>
            </w:pPr>
            <w:r>
              <w:rPr>
                <w:sz w:val="16"/>
              </w:rPr>
              <w:t>Live-only Q&amp;A, never recorded</w:t>
            </w:r>
          </w:p>
        </w:tc>
        <w:tc>
          <w:tcPr>
            <w:tcW w:type="dxa" w:w="648"/>
          </w:tcPr>
          <w:p>
            <w:pPr>
              <w:spacing w:after="20"/>
            </w:pPr>
            <w:r>
              <w:rPr>
                <w:sz w:val="16"/>
              </w:rPr>
              <w:t>Q&amp;A slide</w:t>
            </w:r>
          </w:p>
        </w:tc>
        <w:tc>
          <w:tcPr>
            <w:tcW w:type="dxa" w:w="518"/>
          </w:tcPr>
          <w:p>
            <w:pPr>
              <w:spacing w:after="20"/>
            </w:pPr>
            <w:r>
              <w:rPr>
                <w:sz w:val="16"/>
              </w:rPr>
              <w:t xml:space="preserve">. </w:t>
            </w:r>
          </w:p>
        </w:tc>
        <w:tc>
          <w:tcPr>
            <w:tcW w:type="dxa" w:w="4392"/>
          </w:tcPr>
          <w:p>
            <w:pPr>
              <w:spacing w:after="20"/>
            </w:pPr>
            <w:r>
              <w:rPr>
                <w:sz w:val="16"/>
              </w:rPr>
              <w:t>Confirm aloud that recording has stopped. Method questions only. Hard stop at 60:00.</w:t>
            </w:r>
          </w:p>
        </w:tc>
        <w:tc>
          <w:tcPr>
            <w:tcW w:type="dxa" w:w="4104"/>
          </w:tcPr>
          <w:p>
            <w:pPr>
              <w:spacing w:after="20"/>
            </w:pPr>
            <w:r>
              <w:rPr>
                <w:sz w:val="16"/>
              </w:rPr>
              <w:t>Ask method questions. No scores, states or employers.</w:t>
            </w:r>
          </w:p>
        </w:tc>
        <w:tc>
          <w:tcPr>
            <w:tcW w:type="dxa" w:w="1354"/>
          </w:tcPr>
          <w:p>
            <w:pPr>
              <w:spacing w:after="20"/>
            </w:pP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18:00–30:00 evidence-backed rescore is PROTECTED. Never recover lost time by shortening it. Recover from 46:00–48:00 first, then the 49:00–50:00 buffer.</w:t>
      </w:r>
    </w:p>
    <w:p>
      <w:pPr>
        <w:spacing w:before="60" w:after="60" w:line="40" w:lineRule="exact"/>
        <w:pBdr>
          <w:bottom w:val="single" w:sz="6" w:space="1" w:color="B8C5D9"/>
        </w:pBdr>
      </w:pPr>
    </w:p>
    <w:p>
      <w:pPr>
        <w:spacing w:before="200" w:after="10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it sits on slide 4 at minute 1:50.</w:t>
      </w:r>
    </w:p>
    <w:p>
      <w:pPr>
        <w:pStyle w:val="ListBullet"/>
        <w:spacing w:after="60"/>
      </w:pPr>
      <w:r>
        <w:rPr>
          <w:color w:val="000000"/>
          <w:sz w:val="19"/>
        </w:rPr>
        <w:t>At minute 50, STOP the recording BEFORE inviting participant questions. STOP IT; DO NOT PAUSE IT. Look at the screen and verify it has actually stopped before the first question is taken.</w:t>
      </w:r>
    </w:p>
    <w:p>
      <w:pPr>
        <w:pStyle w:val="ListBullet"/>
        <w:spacing w:after="60"/>
      </w:pPr>
      <w:r>
        <w:rPr>
          <w:color w:val="000000"/>
          <w:sz w:val="19"/>
        </w:rPr>
        <w:t>PRE-SESSION ONLY: if the integration auto-records when the host enters early, PAUSE for the holding period, start or resume on slide 1 at 6:00 PM CT, and STOP at 6:50. Pausing belongs to that window and nowhere else.</w:t>
      </w:r>
    </w:p>
    <w:p>
      <w:pPr>
        <w:pStyle w:val="ListBullet"/>
        <w:spacing w:after="60"/>
      </w:pPr>
      <w:r>
        <w:rPr>
          <w:color w:val="000000"/>
          <w:sz w:val="19"/>
        </w:rPr>
        <w:t>Say out loud that the recording has stopped, then advance to the Q&amp;A slide.</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23, or before enrollment closes inside the core.</w:t>
      </w:r>
    </w:p>
    <w:p>
      <w:pPr>
        <w:spacing w:before="60" w:after="60" w:line="40" w:lineRule="exact"/>
        <w:pBdr>
          <w:bottom w:val="single" w:sz="6" w:space="1" w:color="B8C5D9"/>
        </w:pBdr>
      </w:pPr>
    </w:p>
    <w:p>
      <w:pPr>
        <w:spacing w:before="200" w:after="10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DIAGNOSTIC POLL INSIDE THE RECORDED ASSESSMENT. Nothing that asks anyone to reveal a score, a state, an employer, a circumstance or a decision. No show of hands, no room-level state distribution, no anonymous count of squares. The optional “What moved” interaction is in the appendix and is OUT of the timed core. One optional anonymous arrival poll is permitted, and it runs BEFORE the recording starts: see below.</w:t>
      </w:r>
    </w:p>
    <w:p>
      <w:pPr>
        <w:pStyle w:val="ListBullet"/>
        <w:spacing w:after="60"/>
      </w:pPr>
      <w:r>
        <w:rPr>
          <w:color w:val="000000"/>
          <w:sz w:val="19"/>
        </w:rPr>
        <w:t>OPTIONAL ANONYMOUS ARRIVAL POLL, PRE-RECORDING ONLY. While the dated holding slide is up and the recording is OFF, one anonymous poll may ask “What brought you here?” with these options: my work feels static; I am considering an internal move; I am considering a career pivot; my role has changed around me; I want to know what would still count somewhere else. Close it before the recording starts. Do not read individual answers aloud and do not report a distribution into the recorded core. If the platform does not make it easy, skip it. Nothing depends on it.</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60" w:after="60" w:line="40" w:lineRule="exact"/>
        <w:pBdr>
          <w:bottom w:val="single" w:sz="6" w:space="1" w:color="B8C5D9"/>
        </w:pBdr>
      </w:pPr>
    </w:p>
    <w:p>
      <w:pPr>
        <w:spacing w:before="200" w:after="10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i w:val="0"/>
          <w:color w:val="B00000"/>
          <w:sz w:val="19"/>
        </w:rPr>
        <w:t>If a question is really a request for a personal decision, name the boundary once and stop. If it asks whether experience will transfer to a named role, function, industry or employer, say plainly that this session did not read that destination: generic portability is not destination-specific portability. Do NOT sell the Career Move Review from the stage while its route is unverified, and do not mention the retired Private Capability Position Read at all.</w:t>
      </w:r>
    </w:p>
    <w:p>
      <w:pPr>
        <w:spacing w:before="60" w:after="60" w:line="40" w:lineRule="exact"/>
        <w:pBdr>
          <w:bottom w:val="single" w:sz="6" w:space="1" w:color="B8C5D9"/>
        </w:pBdr>
      </w:pPr>
    </w:p>
    <w:p>
      <w:pPr>
        <w:spacing w:before="200" w:after="10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Pr>
                <w:b/>
                <w:color w:val="FFFFFF"/>
                <w:sz w:val="19"/>
              </w:rPr>
              <w:t>Offer</w:t>
            </w:r>
          </w:p>
        </w:tc>
        <w:tc>
          <w:tcPr>
            <w:tcW w:type="dxa" w:w="6480"/>
            <w:shd w:val="clear" w:fill="0F2347"/>
          </w:tcPr>
          <w:p>
            <w:r>
              <w:rPr>
                <w:b/>
                <w:color w:val="FFFFFF"/>
                <w:sz w:val="19"/>
              </w:rPr>
              <w:t>Position</w:t>
            </w:r>
          </w:p>
        </w:tc>
      </w:tr>
      <w:tr>
        <w:tc>
          <w:tcPr>
            <w:tcW w:type="dxa" w:w="3168"/>
          </w:tcPr>
          <w:p>
            <w:r>
              <w:rPr>
                <w:b/>
                <w:sz w:val="19"/>
              </w:rPr>
              <w:t>September 23 guided assessment</w:t>
            </w:r>
          </w:p>
        </w:tc>
        <w:tc>
          <w:tcPr>
            <w:tcW w:type="dxa" w:w="6480"/>
          </w:tcPr>
          <w:p>
            <w:r>
              <w:rPr>
                <w:sz w:val="19"/>
              </w:rPr>
              <w:t>$0. Free for this launch.</w:t>
            </w:r>
          </w:p>
        </w:tc>
      </w:tr>
      <w:tr>
        <w:tc>
          <w:tcPr>
            <w:tcW w:type="dxa" w:w="3168"/>
          </w:tcPr>
          <w:p>
            <w:r>
              <w:rPr>
                <w:b/>
                <w:sz w:val="19"/>
              </w:rPr>
              <w:t>Career Evidence Starter</w:t>
            </w:r>
          </w:p>
        </w:tc>
        <w:tc>
          <w:tcPr>
            <w:tcW w:type="dxa" w:w="6480"/>
          </w:tcPr>
          <w:p>
            <w:r>
              <w:rPr>
                <w:sz w:val="19"/>
              </w:rPr>
              <w:t>Free. The entry artifact. Not pitched from the stage.</w:t>
            </w:r>
          </w:p>
        </w:tc>
      </w:tr>
      <w:tr>
        <w:tc>
          <w:tcPr>
            <w:tcW w:type="dxa" w:w="3168"/>
          </w:tcPr>
          <w:p>
            <w:r>
              <w:rPr>
                <w:b/>
                <w:sz w:val="19"/>
              </w:rPr>
              <w:t>Keep the Proof</w:t>
            </w:r>
          </w:p>
        </w:tc>
        <w:tc>
          <w:tcPr>
            <w:tcW w:type="dxa" w:w="6480"/>
          </w:tcPr>
          <w:p>
            <w:r>
              <w:rPr>
                <w:sz w:val="19"/>
              </w:rPr>
              <w:t>$49. For someone who has done the work but has no reliable record of it. A different problem from this session's, so it is NOT in the recorded continuation sequence. It belongs in follow-up, matched to that need.</w:t>
            </w:r>
          </w:p>
        </w:tc>
      </w:tr>
      <w:tr>
        <w:tc>
          <w:tcPr>
            <w:tcW w:type="dxa" w:w="3168"/>
          </w:tcPr>
          <w:p>
            <w:r>
              <w:rPr>
                <w:b/>
                <w:sz w:val="19"/>
              </w:rPr>
              <w:t>Capability Formation Field Kit</w:t>
            </w:r>
          </w:p>
        </w:tc>
        <w:tc>
          <w:tcPr>
            <w:tcW w:type="dxa" w:w="6480"/>
          </w:tcPr>
          <w:p>
            <w:r>
              <w:rPr>
                <w:sz w:val="19"/>
              </w:rPr>
              <w:t>Exactly $150. Private, self-guided, repeatable. Not discounted, not bundled, never free. The only paid route named in the recorded sequence, and its price is spoken live rather than printed on the slide.</w:t>
            </w:r>
          </w:p>
        </w:tc>
      </w:tr>
      <w:tr>
        <w:tc>
          <w:tcPr>
            <w:tcW w:type="dxa" w:w="3168"/>
          </w:tcPr>
          <w:p>
            <w:r>
              <w:rPr>
                <w:b/>
                <w:sz w:val="19"/>
              </w:rPr>
              <w:t>Career Move Review. ROUTE NOT VERIFIED</w:t>
            </w:r>
          </w:p>
        </w:tc>
        <w:tc>
          <w:tcPr>
            <w:tcW w:type="dxa" w:w="6480"/>
          </w:tcPr>
          <w:p>
            <w:r>
              <w:rPr>
                <w:sz w:val="19"/>
              </w:rPr>
              <w:t>$500, one public price, qualification before payment. The current advisory offer for someone with a named destination. NOT on the continuation slide and NOT sold from the stage until a verified individual route exists. Never route it to the enterprise Advisory page and never reuse a retired Private Read link.</w:t>
            </w:r>
          </w:p>
        </w:tc>
      </w:tr>
      <w:tr>
        <w:tc>
          <w:tcPr>
            <w:tcW w:type="dxa" w:w="3168"/>
          </w:tcPr>
          <w:p>
            <w:r>
              <w:rPr>
                <w:b/>
                <w:sz w:val="19"/>
              </w:rPr>
              <w:t>Private Capability Position Read. RETIRED</w:t>
            </w:r>
          </w:p>
        </w:tc>
        <w:tc>
          <w:tcPr>
            <w:tcW w:type="dxa" w:w="6480"/>
          </w:tcPr>
          <w:p>
            <w:r>
              <w:rPr>
                <w:sz w:val="19"/>
              </w:rPr>
              <w:t>Withdrawn. Not priced, not pitched, not booked, and it does not return under that name. Career Move Review replaces it.</w:t>
            </w:r>
          </w:p>
        </w:tc>
      </w:tr>
      <w:tr>
        <w:tc>
          <w:tcPr>
            <w:tcW w:type="dxa" w:w="3168"/>
          </w:tcPr>
          <w:p>
            <w:r>
              <w:rPr>
                <w:b/>
                <w:sz w:val="19"/>
              </w:rPr>
              <w:t>Former paid group workshop</w:t>
            </w:r>
          </w:p>
        </w:tc>
        <w:tc>
          <w:tcPr>
            <w:tcW w:type="dxa" w:w="6480"/>
          </w:tcPr>
          <w:p>
            <w:r>
              <w:rPr>
                <w:sz w:val="19"/>
              </w:rPr>
              <w:t>RETIRED from active public sale. May remain archived as an internal asset. Must NOT be presented as the current public next step.</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60" w:after="60" w:line="40" w:lineRule="exact"/>
        <w:pBdr>
          <w:bottom w:val="single" w:sz="6" w:space="1" w:color="B8C5D9"/>
        </w:pBdr>
      </w:pPr>
    </w:p>
    <w:p>
      <w:pPr>
        <w:spacing w:before="200" w:after="10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the two commercial continuation slides.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Career Move Review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60" w:after="60" w:line="40" w:lineRule="exact"/>
        <w:pBdr>
          <w:bottom w:val="single" w:sz="6" w:space="1" w:color="B8C5D9"/>
        </w:pBdr>
      </w:pPr>
    </w:p>
    <w:p>
      <w:pPr>
        <w:spacing w:before="200" w:after="10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23,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 no artificial marketing cap. Registration must remain within verified live-platform capacity, or an overflow or replay plan must be approved before promotion continues.</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 CHECK BEFORE PROMOTION</w:t>
            </w:r>
          </w:p>
        </w:tc>
        <w:tc>
          <w:tcPr>
            <w:tcW w:type="dxa" w:w="6480"/>
          </w:tcPr>
          <w:p>
            <w:r/>
            <w:r>
              <w:rPr>
                <w:sz w:val="19"/>
              </w:rPr>
              <w:t>Zoom capacity is NOT unlimited and must not be described as such. Before promotion continues, record here the seat limit of the Zoom plan connected to this event and whatever Maven caps or requires, and verify both against registration. The family documents a 100-participant live capacity; no webinar licence and no larger capacity may be claimed until it exists.</w:t>
            </w:r>
          </w:p>
        </w:tc>
      </w:tr>
    </w:tbl>
    <w:p>
      <w:pPr>
        <w:spacing w:after="80"/>
      </w:pPr>
    </w:p>
    <w:p>
      <w:pPr>
        <w:spacing w:before="60" w:after="60" w:line="40" w:lineRule="exact"/>
        <w:pBdr>
          <w:bottom w:val="single" w:sz="6" w:space="1" w:color="B8C5D9"/>
        </w:pBdr>
      </w:pPr>
    </w:p>
    <w:p>
      <w:pPr>
        <w:spacing w:before="200" w:after="10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PRESENTER_VERSION_Stay_or_Leave_..._60MIN_v2.0.7_CANDIDATE.pptx.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Verify the current Field Kit route and price immediately before delivery. Confirm the Career Move Review is still absent from the participant-facing continuation sequence: it stays off until its fulfillment route is verified operational.</w:t>
      </w:r>
    </w:p>
    <w:p>
      <w:pPr>
        <w:pStyle w:val="ListBullet"/>
        <w:spacing w:after="60"/>
      </w:pPr>
      <w:r>
        <w:rPr>
          <w:color w:val="000000"/>
          <w:sz w:val="19"/>
        </w:rPr>
        <w:t>Institutional variant decided in advance if this is an institutional delivery.</w:t>
      </w:r>
    </w:p>
    <w:p>
      <w:pPr>
        <w:spacing w:before="60" w:after="60" w:line="40" w:lineRule="exact"/>
        <w:pBdr>
          <w:bottom w:val="single" w:sz="6" w:space="1" w:color="B8C5D9"/>
        </w:pBdr>
      </w:pPr>
    </w:p>
    <w:p>
      <w:pPr>
        <w:spacing w:before="200" w:after="100"/>
      </w:pPr>
      <w:r>
        <w:rPr>
          <w:b/>
          <w:color w:val="0F2347"/>
          <w:sz w:val="32"/>
        </w:rPr>
        <w:t>10. Rehearsal standard</w:t>
      </w:r>
    </w:p>
    <w:p>
      <w:pPr>
        <w:spacing w:after="160"/>
      </w:pPr>
      <w:r>
        <w:rPr>
          <w:b/>
          <w:i w:val="0"/>
          <w:color w:val="B00000"/>
          <w:sz w:val="21"/>
        </w:rPr>
        <w:t>TWO REHEARSALS ARE REQUIRED BEFORE THIS FAMILY LEAVES CANDIDATE.</w:t>
      </w:r>
    </w:p>
    <w:p>
      <w:pPr>
        <w:spacing w:before="160" w:after="60"/>
      </w:pPr>
      <w:r>
        <w:rPr>
          <w:b/>
          <w:color w:val="0F2347"/>
          <w:sz w:val="25"/>
        </w:rPr>
        <w:t>Rehearsal 1.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18:00–30:00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46:00–48:00 first, then the buffer, then compress the four-states block. Never the rescore.</w:t>
      </w:r>
    </w:p>
    <w:p>
      <w:pPr>
        <w:spacing w:before="160" w:after="60"/>
      </w:pPr>
      <w:r>
        <w:rPr>
          <w:b/>
          <w:color w:val="0F2347"/>
          <w:sz w:val="25"/>
        </w:rPr>
        <w:t>Rehearsal 2.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not pause. at 50:00, verified on screen before the first question. Rehearse the auto-record case: pause, then start on slide 1.</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spacing w:before="160" w:after="60"/>
      </w:pPr>
      <w:r>
        <w:rPr>
          <w:b/>
          <w:color w:val="0F2347"/>
          <w:sz w:val="25"/>
        </w:rPr>
        <w:t>Workbook behaviour test.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60" w:after="60" w:line="40" w:lineRule="exact"/>
        <w:pBdr>
          <w:bottom w:val="single" w:sz="6" w:space="1" w:color="B8C5D9"/>
        </w:pBdr>
      </w:pPr>
    </w:p>
    <w:p>
      <w:pPr>
        <w:spacing w:before="200" w:after="100"/>
      </w:pPr>
      <w:r>
        <w:rPr>
          <w:b/>
          <w:color w:val="0F2347"/>
          <w:sz w:val="32"/>
        </w:rPr>
        <w:t>11. Source-of-truth map</w:t>
      </w:r>
    </w:p>
    <w:p>
      <w:pPr>
        <w:pStyle w:val="ListBullet"/>
        <w:spacing w:after="60"/>
      </w:pPr>
      <w:r>
        <w:rPr>
          <w:color w:val="000000"/>
          <w:sz w:val="19"/>
        </w:rPr>
        <w:t>Deck: PRESENTER_VERSION_Stay_or_Leave_Live_Career_Growth_Assessment_60MIN_v2.0.7_CANDIDATE.pptx. 33 slides, 26 active, 7 hidden.</w:t>
      </w:r>
    </w:p>
    <w:p>
      <w:pPr>
        <w:pStyle w:val="ListBullet"/>
        <w:spacing w:after="60"/>
      </w:pPr>
      <w:r>
        <w:rPr>
          <w:color w:val="000000"/>
          <w:sz w:val="19"/>
        </w:rPr>
        <w:t>Workbook: Capability_Position_Read_Workbook_60MIN_v2.0.1_CANDIDATE.pdf.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Capability_Formation_Free_Flagship_SOP_Sept23_2026_60MIN_v2.0.11_CANDIDATE.docx.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60" w:after="60" w:line="40" w:lineRule="exact"/>
        <w:pBdr>
          <w:bottom w:val="single" w:sz="6" w:space="1" w:color="B8C5D9"/>
        </w:pBdr>
      </w:pPr>
    </w:p>
    <w:p>
      <w:pPr>
        <w:spacing w:before="200" w:after="100"/>
      </w:pPr>
      <w:r>
        <w:rPr>
          <w:b/>
          <w:color w:val="0F2347"/>
          <w:sz w:val="32"/>
        </w:rPr>
        <w:t>12. What is live elsewhere, and what remains unbuilt</w:t>
      </w:r>
    </w:p>
    <w:p>
      <w:pPr>
        <w:spacing w:after="160"/>
      </w:pPr>
      <w:r>
        <w:rPr>
          <w:b/>
          <w:i w:val="0"/>
          <w:color w:val="000000"/>
          <w:sz w:val="19"/>
        </w:rPr>
        <w:t>Two categories. The first is live and outside this document's scope; the second does not exist yet. Changing anything in the first is a separate decision: this SOP points at those assets, it neither governs nor republishes them.</w:t>
      </w:r>
    </w:p>
    <w:p>
      <w:pPr>
        <w:spacing w:before="160" w:after="60"/>
      </w:pPr>
      <w:r>
        <w:rPr>
          <w:b/>
          <w:color w:val="0F2347"/>
          <w:sz w:val="25"/>
        </w:rPr>
        <w:t>Live elsewhere. out of scope here, not unbuilt</w:t>
      </w:r>
    </w:p>
    <w:p>
      <w:pPr>
        <w:pStyle w:val="ListBullet"/>
        <w:spacing w:after="60"/>
      </w:pPr>
      <w:r>
        <w:rPr>
          <w:color w:val="000000"/>
          <w:sz w:val="19"/>
        </w:rPr>
        <w:t>Maven event page and platform configuration for September 23, live at maven.com/p/8b3c40/stay-or-leave-live-career-growth-assessment.</w:t>
      </w:r>
    </w:p>
    <w:p>
      <w:pPr>
        <w:pStyle w:val="ListBullet"/>
        <w:spacing w:after="60"/>
      </w:pPr>
      <w:r>
        <w:rPr>
          <w:color w:val="000000"/>
          <w:sz w:val="19"/>
        </w:rPr>
        <w:t>Attendee communications configured for the September 9 session, with its registration list maintained in Maven.</w:t>
      </w:r>
    </w:p>
    <w:p>
      <w:pPr>
        <w:pStyle w:val="ListBullet"/>
        <w:spacing w:after="60"/>
      </w:pPr>
      <w:r>
        <w:rPr>
          <w:color w:val="000000"/>
          <w:sz w:val="19"/>
        </w:rPr>
        <w:t>Field Kit, reached through temidayoafonja.com/fieldkit, which is the deck face route, the QR target and the chat message. It is the evergreen destination because a recorded replay outlives any storefront URL.</w:t>
      </w:r>
    </w:p>
    <w:p>
      <w:pPr>
        <w:pStyle w:val="ListBullet"/>
        <w:spacing w:after="60"/>
      </w:pPr>
      <w:r>
        <w:rPr>
          <w:color w:val="000000"/>
          <w:sz w:val="19"/>
        </w:rPr>
        <w:t>Current website copy. The live site is the source of truth for pricing.</w:t>
      </w:r>
    </w:p>
    <w:p>
      <w:pPr>
        <w:pStyle w:val="ListBullet"/>
        <w:spacing w:after="60"/>
      </w:pPr>
      <w:r>
        <w:rPr>
          <w:color w:val="000000"/>
          <w:sz w:val="19"/>
        </w:rPr>
        <w:t>September 23 LinkedIn promotional sequence, already built in the current editorial publishing plan.</w:t>
      </w:r>
    </w:p>
    <w:p>
      <w:pPr>
        <w:spacing w:before="160" w:after="60"/>
      </w:pPr>
      <w:r>
        <w:rPr>
          <w:b/>
          <w:color w:val="0F2347"/>
          <w:sz w:val="25"/>
        </w:rPr>
        <w:t>Genuinely unbuilt</w:t>
      </w:r>
    </w:p>
    <w:p>
      <w:pPr>
        <w:pStyle w:val="ListBullet"/>
        <w:spacing w:after="60"/>
      </w:pPr>
      <w:r>
        <w:rPr>
          <w:color w:val="000000"/>
          <w:sz w:val="19"/>
        </w:rPr>
        <w:t>Career Move Review fulfillment route. The offer and price are decided; no route for it exists in the repository or on the live site, so it is off the continuation slide in deck v2.0.7 and out of Q&amp;A until a verified individual route can be named here. The Private Capability Position Read is RETIRED.</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Newsletter copy for the September 23 session.</w:t>
      </w:r>
    </w:p>
    <w:p>
      <w:pPr>
        <w:spacing w:before="20" w:after="20" w:line="40" w:lineRule="exact"/>
        <w:pBdr>
          <w:bottom w:val="single" w:sz="6" w:space="1" w:color="B8C5D9"/>
        </w:pBdr>
      </w:pPr>
    </w:p>
    <w:p>
      <w:pPr>
        <w:spacing w:after="0"/>
      </w:pPr>
      <w:r>
        <w:rPr>
          <w:b w:val="0"/>
          <w:i/>
          <w:color w:val="555555"/>
          <w:sz w:val="16"/>
        </w:rPr>
        <w:t>FREE FLAGSHIP SOP v2.0.11 CANDIDATE  ·  INTERNAL ONLY  ·  Revised Friday, September 25, 2026 at 9:10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Sunday, August 30, 2026 at 1:07 PM CT. CANDIDATE — not FINAL until the timed rehearsal passes.</dc:description>
  <cp:lastModifiedBy/>
  <cp:revision>1</cp:revision>
  <dcterms:created xsi:type="dcterms:W3CDTF">2013-12-23T23:15:00Z</dcterms:created>
  <dcterms:modified xsi:type="dcterms:W3CDTF">2013-12-23T23:15:00Z</dcterms:modified>
  <cp:category/>
</cp:coreProperties>
</file>