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sz w:val="32"/>
        </w:rPr>
        <w:t>Field Kit × Live Workshop — Cross-Asset Alignment Audit v1.0</w:t>
      </w:r>
    </w:p>
    <w:p>
      <w:pPr>
        <w:spacing w:after="80" w:before="0"/>
      </w:pPr>
      <w:r>
        <w:rPr>
          <w:b w:val="0"/>
          <w:i/>
          <w:color w:val="555555"/>
          <w:sz w:val="21"/>
        </w:rPr>
        <w:t>Decide Whether to Stay or Leave Your Job — The Capability Position Read</w:t>
      </w:r>
    </w:p>
    <w:p>
      <w:pPr>
        <w:spacing w:after="200" w:before="0"/>
      </w:pPr>
      <w:r>
        <w:rPr>
          <w:b/>
          <w:i w:val="0"/>
          <w:color w:val="B00000"/>
          <w:sz w:val="20"/>
        </w:rPr>
        <w:t>The Capability Formation Field Kit (24 pages) is classified ACTIVE — PUBLISHED FINAL — READ ONLY. This audit compares it against the live-workshop instrument. Nothing in the Field Kit is edited, rewritten, rebranded, version-bumped, or regenerated as a result of this document.</w:t>
      </w:r>
    </w:p>
    <w:p>
      <w:pPr>
        <w:spacing w:before="80" w:after="80"/>
      </w:pPr>
      <w:r>
        <w:rPr>
          <w:color w:val="555555"/>
          <w:sz w:val="16"/>
        </w:rPr>
        <w:t>――――――――――――――――――――――――――――――――――――――――――――――――――――――――――――――――――――――</w:t>
      </w:r>
    </w:p>
    <w:p>
      <w:pPr>
        <w:spacing w:before="280" w:after="80"/>
      </w:pPr>
      <w:r>
        <w:rPr>
          <w:b/>
          <w:sz w:val="25"/>
        </w:rPr>
        <w:t>Source confirmation</w:t>
      </w:r>
    </w:p>
    <w:p>
      <w:pPr>
        <w:pStyle w:val="ListBullet"/>
        <w:spacing w:after="60"/>
      </w:pPr>
      <w:r>
        <w:rPr>
          <w:b/>
          <w:sz w:val="21"/>
        </w:rPr>
        <w:t xml:space="preserve">Field Kit source. </w:t>
      </w:r>
      <w:r>
        <w:rPr>
          <w:sz w:val="21"/>
        </w:rPr>
        <w:t>The upload Temidayo explicitly confirmed as "the approved and final one" (c4f3b42f-The_Capability_Formation_FieldKit.pdf) — copied verbatim, byte-for-byte, to paid-workshop-assets/field-kit/The_Capability_Formation_FieldKit.pdf. 24 pages, confirmed identical (md5) to the other candidate uploads under the same filename.</w:t>
      </w:r>
    </w:p>
    <w:p>
      <w:pPr>
        <w:pStyle w:val="ListBullet"/>
        <w:spacing w:after="60"/>
      </w:pPr>
      <w:r>
        <w:rPr>
          <w:b/>
          <w:sz w:val="21"/>
        </w:rPr>
        <w:t xml:space="preserve">Live-workshop deck. </w:t>
      </w:r>
      <w:r>
        <w:rPr>
          <w:sz w:val="21"/>
        </w:rPr>
        <w:t>the frozen v5.2.1 FINAL deck and speaker notes.</w:t>
      </w:r>
    </w:p>
    <w:p>
      <w:pPr>
        <w:pStyle w:val="ListBullet"/>
        <w:spacing w:after="60"/>
      </w:pPr>
      <w:r>
        <w:rPr>
          <w:b/>
          <w:sz w:val="21"/>
        </w:rPr>
        <w:t xml:space="preserve">Live-workshop workbook. </w:t>
      </w:r>
      <w:r>
        <w:rPr>
          <w:sz w:val="21"/>
        </w:rPr>
        <w:t>Capability_Position_Read_COMPLETE_SESSION_RECORD_v1.5_FINAL (Part A: Initial Read + Part B: Calibration and Decision, merged).</w:t>
      </w:r>
    </w:p>
    <w:p>
      <w:pPr>
        <w:spacing w:before="80" w:after="80"/>
      </w:pPr>
      <w:r>
        <w:rPr>
          <w:color w:val="555555"/>
          <w:sz w:val="16"/>
        </w:rPr>
        <w:t>――――――――――――――――――――――――――――――――――――――――――――――――――――――――――――――――――――――</w:t>
      </w:r>
    </w:p>
    <w:p>
      <w:pPr>
        <w:spacing w:before="280" w:after="80"/>
      </w:pPr>
      <w:r>
        <w:rPr>
          <w:b/>
          <w:sz w:val="25"/>
        </w:rPr>
        <w:t>Classification framework</w:t>
      </w:r>
    </w:p>
    <w:p>
      <w:pPr>
        <w:pStyle w:val="ListBullet"/>
        <w:spacing w:after="60"/>
      </w:pPr>
      <w:r>
        <w:rPr>
          <w:b/>
          <w:sz w:val="21"/>
        </w:rPr>
        <w:t xml:space="preserve">A. SAME MECHANIC — </w:t>
      </w:r>
      <w:r>
        <w:rPr>
          <w:sz w:val="21"/>
        </w:rPr>
        <w:t>must agree exactly. Any divergence found here is a real defect requiring correction.</w:t>
      </w:r>
    </w:p>
    <w:p>
      <w:pPr>
        <w:pStyle w:val="ListBullet"/>
        <w:spacing w:after="60"/>
      </w:pPr>
      <w:r>
        <w:rPr>
          <w:b/>
          <w:sz w:val="21"/>
        </w:rPr>
        <w:t xml:space="preserve">B. DIFFERENT BY DESIGN — </w:t>
      </w:r>
      <w:r>
        <w:rPr>
          <w:sz w:val="21"/>
        </w:rPr>
        <w:t>allowed, because the Field Kit (self-guided, single sitting) and the live workshop (facilitated, two hours, calibrated in a room) serve different purposes. Do NOT modify the Field Kit to mimic the live workshop — the difference is part of the value distinction.</w:t>
      </w:r>
    </w:p>
    <w:p>
      <w:pPr>
        <w:pStyle w:val="ListBullet"/>
        <w:spacing w:after="60"/>
      </w:pPr>
      <w:r>
        <w:rPr>
          <w:b/>
          <w:sz w:val="21"/>
        </w:rPr>
        <w:t xml:space="preserve">C. FUTURE-EDITION NOTE — </w:t>
      </w:r>
      <w:r>
        <w:rPr>
          <w:sz w:val="21"/>
        </w:rPr>
        <w:t>recorded for a possible future edition. Not edited now. Not treated as a conflict.</w:t>
      </w:r>
    </w:p>
    <w:p>
      <w:pPr>
        <w:pStyle w:val="ListBullet"/>
        <w:spacing w:after="60"/>
      </w:pPr>
      <w:r>
        <w:rPr>
          <w:b/>
          <w:sz w:val="21"/>
        </w:rPr>
        <w:t xml:space="preserve">D. TRUE CONFLICT — </w:t>
      </w:r>
      <w:r>
        <w:rPr>
          <w:sz w:val="21"/>
        </w:rPr>
        <w:t>only something that would make a participant follow two incompatible rules for the SAME live-workshop action. Surfaced for approval, never resolved silently.</w:t>
      </w:r>
    </w:p>
    <w:p>
      <w:pPr>
        <w:spacing w:before="80" w:after="80"/>
      </w:pPr>
      <w:r>
        <w:rPr>
          <w:color w:val="555555"/>
          <w:sz w:val="16"/>
        </w:rPr>
        <w:t>――――――――――――――――――――――――――――――――――――――――――――――――――――――――――――――――――――――</w:t>
      </w:r>
    </w:p>
    <w:p>
      <w:pPr>
        <w:spacing w:before="280" w:after="80"/>
      </w:pPr>
      <w:r>
        <w:rPr>
          <w:b/>
          <w:sz w:val="25"/>
        </w:rPr>
        <w:t>A. SAME MECHANIC — verified identical</w:t>
      </w:r>
    </w:p>
    <w:tbl>
      <w:tblPr>
        <w:tblStyle w:val="LightGrid-Accent1"/>
        <w:tblW w:type="auto" w:w="0"/>
        <w:tblLook w:firstColumn="1" w:firstRow="1" w:lastColumn="0" w:lastRow="0" w:noHBand="0" w:noVBand="1" w:val="04A0"/>
      </w:tblPr>
      <w:tblGrid>
        <w:gridCol w:w="2520"/>
        <w:gridCol w:w="2520"/>
        <w:gridCol w:w="2520"/>
        <w:gridCol w:w="2520"/>
      </w:tblGrid>
      <w:tr>
        <w:tc>
          <w:tcPr>
            <w:tcW w:type="dxa" w:w="2232"/>
          </w:tcPr>
          <w:p>
            <w:r/>
            <w:r>
              <w:rPr>
                <w:b/>
                <w:sz w:val="19"/>
              </w:rPr>
              <w:t>Item</w:t>
            </w:r>
          </w:p>
        </w:tc>
        <w:tc>
          <w:tcPr>
            <w:tcW w:type="dxa" w:w="2664"/>
          </w:tcPr>
          <w:p>
            <w:r/>
            <w:r>
              <w:rPr>
                <w:b/>
                <w:sz w:val="19"/>
              </w:rPr>
              <w:t>Field Kit</w:t>
            </w:r>
          </w:p>
        </w:tc>
        <w:tc>
          <w:tcPr>
            <w:tcW w:type="dxa" w:w="2664"/>
          </w:tcPr>
          <w:p>
            <w:r/>
            <w:r>
              <w:rPr>
                <w:b/>
                <w:sz w:val="19"/>
              </w:rPr>
              <w:t>Live workshop</w:t>
            </w:r>
          </w:p>
        </w:tc>
        <w:tc>
          <w:tcPr>
            <w:tcW w:type="dxa" w:w="2376"/>
          </w:tcPr>
          <w:p>
            <w:r/>
            <w:r>
              <w:rPr>
                <w:b/>
                <w:sz w:val="19"/>
              </w:rPr>
              <w:t>Result</w:t>
            </w:r>
          </w:p>
        </w:tc>
      </w:tr>
      <w:tr>
        <w:tc>
          <w:tcPr>
            <w:tcW w:type="dxa" w:w="2232"/>
          </w:tcPr>
          <w:p>
            <w:r/>
            <w:r>
              <w:rPr>
                <w:sz w:val="18"/>
              </w:rPr>
              <w:t>Twelve statements (exact wording)</w:t>
            </w:r>
          </w:p>
        </w:tc>
        <w:tc>
          <w:tcPr>
            <w:tcW w:type="dxa" w:w="2664"/>
          </w:tcPr>
          <w:p>
            <w:r/>
            <w:r>
              <w:rPr>
                <w:sz w:val="18"/>
              </w:rPr>
              <w:t>Section 1, pp. 5–6 — all 12 statements</w:t>
            </w:r>
          </w:p>
        </w:tc>
        <w:tc>
          <w:tcPr>
            <w:tcW w:type="dxa" w:w="2664"/>
          </w:tcPr>
          <w:p>
            <w:r/>
            <w:r>
              <w:rPr>
                <w:sz w:val="18"/>
              </w:rPr>
              <w:t>Part A p. 4–5 — all 12 statements</w:t>
            </w:r>
          </w:p>
        </w:tc>
        <w:tc>
          <w:tcPr>
            <w:tcW w:type="dxa" w:w="2376"/>
          </w:tcPr>
          <w:p>
            <w:r/>
            <w:r>
              <w:rPr>
                <w:sz w:val="18"/>
              </w:rPr>
              <w:t>IDENTICAL, word-for-word, verified by direct text comparison</w:t>
            </w:r>
          </w:p>
        </w:tc>
      </w:tr>
      <w:tr>
        <w:tc>
          <w:tcPr>
            <w:tcW w:type="dxa" w:w="2232"/>
          </w:tcPr>
          <w:p>
            <w:r/>
            <w:r>
              <w:rPr>
                <w:sz w:val="18"/>
              </w:rPr>
              <w:t>1–5 scoring scale</w:t>
            </w:r>
          </w:p>
        </w:tc>
        <w:tc>
          <w:tcPr>
            <w:tcW w:type="dxa" w:w="2664"/>
          </w:tcPr>
          <w:p>
            <w:r/>
            <w:r>
              <w:rPr>
                <w:sz w:val="18"/>
              </w:rPr>
              <w:t>"scored 1 (strongly disagree) to 5 (strongly agree)"</w:t>
            </w:r>
          </w:p>
        </w:tc>
        <w:tc>
          <w:tcPr>
            <w:tcW w:type="dxa" w:w="2664"/>
          </w:tcPr>
          <w:p>
            <w:r/>
            <w:r>
              <w:rPr>
                <w:sz w:val="18"/>
              </w:rPr>
              <w:t>"Score 1 strongly disagree to 5 strongly agree"</w:t>
            </w:r>
          </w:p>
        </w:tc>
        <w:tc>
          <w:tcPr>
            <w:tcW w:type="dxa" w:w="2376"/>
          </w:tcPr>
          <w:p>
            <w:r/>
            <w:r>
              <w:rPr>
                <w:sz w:val="18"/>
              </w:rPr>
              <w:t>ALIGNED</w:t>
            </w:r>
          </w:p>
        </w:tc>
      </w:tr>
      <w:tr>
        <w:tc>
          <w:tcPr>
            <w:tcW w:type="dxa" w:w="2232"/>
          </w:tcPr>
          <w:p>
            <w:r/>
            <w:r>
              <w:rPr>
                <w:sz w:val="18"/>
              </w:rPr>
              <w:t>"Last ninety days" evidence window</w:t>
            </w:r>
          </w:p>
        </w:tc>
        <w:tc>
          <w:tcPr>
            <w:tcW w:type="dxa" w:w="2664"/>
          </w:tcPr>
          <w:p>
            <w:r/>
            <w:r>
              <w:rPr>
                <w:sz w:val="18"/>
              </w:rPr>
              <w:t>"against the last ninety days of your actual working life"</w:t>
            </w:r>
          </w:p>
        </w:tc>
        <w:tc>
          <w:tcPr>
            <w:tcW w:type="dxa" w:w="2664"/>
          </w:tcPr>
          <w:p>
            <w:r/>
            <w:r>
              <w:rPr>
                <w:sz w:val="18"/>
              </w:rPr>
              <w:t>"against the last ninety days you actually lived"</w:t>
            </w:r>
          </w:p>
        </w:tc>
        <w:tc>
          <w:tcPr>
            <w:tcW w:type="dxa" w:w="2376"/>
          </w:tcPr>
          <w:p>
            <w:r/>
            <w:r>
              <w:rPr>
                <w:sz w:val="18"/>
              </w:rPr>
              <w:t>ALIGNED</w:t>
            </w:r>
          </w:p>
        </w:tc>
      </w:tr>
      <w:tr>
        <w:tc>
          <w:tcPr>
            <w:tcW w:type="dxa" w:w="2232"/>
          </w:tcPr>
          <w:p>
            <w:r/>
            <w:r>
              <w:rPr>
                <w:sz w:val="18"/>
              </w:rPr>
              <w:t>Question-mark convention</w:t>
            </w:r>
          </w:p>
        </w:tc>
        <w:tc>
          <w:tcPr>
            <w:tcW w:type="dxa" w:w="2664"/>
          </w:tcPr>
          <w:p>
            <w:r/>
            <w:r>
              <w:rPr>
                <w:sz w:val="18"/>
              </w:rPr>
              <w:t>"add a question mark: 3?, 4?, 2?"</w:t>
            </w:r>
          </w:p>
        </w:tc>
        <w:tc>
          <w:tcPr>
            <w:tcW w:type="dxa" w:w="2664"/>
          </w:tcPr>
          <w:p>
            <w:r/>
            <w:r>
              <w:rPr>
                <w:sz w:val="18"/>
              </w:rPr>
              <w:t>Same convention referenced in deck notes (evidence protocol)</w:t>
            </w:r>
          </w:p>
        </w:tc>
        <w:tc>
          <w:tcPr>
            <w:tcW w:type="dxa" w:w="2376"/>
          </w:tcPr>
          <w:p>
            <w:r/>
            <w:r>
              <w:rPr>
                <w:sz w:val="18"/>
              </w:rPr>
              <w:t>ALIGNED</w:t>
            </w:r>
          </w:p>
        </w:tc>
      </w:tr>
      <w:tr>
        <w:tc>
          <w:tcPr>
            <w:tcW w:type="dxa" w:w="2232"/>
          </w:tcPr>
          <w:p>
            <w:r/>
            <w:r>
              <w:rPr>
                <w:sz w:val="18"/>
              </w:rPr>
              <w:t>Boundary band (17–21)</w:t>
            </w:r>
          </w:p>
        </w:tc>
        <w:tc>
          <w:tcPr>
            <w:tcW w:type="dxa" w:w="2664"/>
          </w:tcPr>
          <w:p>
            <w:r/>
            <w:r>
              <w:rPr>
                <w:sz w:val="18"/>
              </w:rPr>
              <w:t>"if either score falls between 17 and 21... treat yourself as standing on the boundary"</w:t>
            </w:r>
          </w:p>
        </w:tc>
        <w:tc>
          <w:tcPr>
            <w:tcW w:type="dxa" w:w="2664"/>
          </w:tcPr>
          <w:p>
            <w:r/>
            <w:r>
              <w:rPr>
                <w:sz w:val="18"/>
              </w:rPr>
              <w:t>"Any score between 17 and 21 is a boundary, even a high one"</w:t>
            </w:r>
          </w:p>
        </w:tc>
        <w:tc>
          <w:tcPr>
            <w:tcW w:type="dxa" w:w="2376"/>
          </w:tcPr>
          <w:p>
            <w:r/>
            <w:r>
              <w:rPr>
                <w:sz w:val="18"/>
              </w:rPr>
              <w:t>ALIGNED, identical range</w:t>
            </w:r>
          </w:p>
        </w:tc>
      </w:tr>
      <w:tr>
        <w:tc>
          <w:tcPr>
            <w:tcW w:type="dxa" w:w="2232"/>
          </w:tcPr>
          <w:p>
            <w:r/>
            <w:r>
              <w:rPr>
                <w:sz w:val="18"/>
              </w:rPr>
              <w:t>High/low threshold (19–30 high / 6–18 low)</w:t>
            </w:r>
          </w:p>
        </w:tc>
        <w:tc>
          <w:tcPr>
            <w:tcW w:type="dxa" w:w="2664"/>
          </w:tcPr>
          <w:p>
            <w:r/>
            <w:r>
              <w:rPr>
                <w:sz w:val="18"/>
              </w:rPr>
              <w:t>"Nineteen or higher is high on each axis"</w:t>
            </w:r>
          </w:p>
        </w:tc>
        <w:tc>
          <w:tcPr>
            <w:tcW w:type="dxa" w:w="2664"/>
          </w:tcPr>
          <w:p>
            <w:r/>
            <w:r>
              <w:rPr>
                <w:sz w:val="18"/>
              </w:rPr>
              <w:t>"19 to 30 is high on this axis. 6 to 18 is low."</w:t>
            </w:r>
          </w:p>
        </w:tc>
        <w:tc>
          <w:tcPr>
            <w:tcW w:type="dxa" w:w="2376"/>
          </w:tcPr>
          <w:p>
            <w:r/>
            <w:r>
              <w:rPr>
                <w:sz w:val="18"/>
              </w:rPr>
              <w:t>ALIGNED, same numbers</w:t>
            </w:r>
          </w:p>
        </w:tc>
      </w:tr>
      <w:tr>
        <w:tc>
          <w:tcPr>
            <w:tcW w:type="dxa" w:w="2232"/>
          </w:tcPr>
          <w:p>
            <w:r/>
            <w:r>
              <w:rPr>
                <w:sz w:val="18"/>
              </w:rPr>
              <w:t>Four-states matrix and definitions</w:t>
            </w:r>
          </w:p>
        </w:tc>
        <w:tc>
          <w:tcPr>
            <w:tcW w:type="dxa" w:w="2664"/>
          </w:tcPr>
          <w:p>
            <w:r/>
            <w:r>
              <w:rPr>
                <w:sz w:val="18"/>
              </w:rPr>
              <w:t>Compounding / Depth Trap / Stagnant / Fragile, same axis definitions</w:t>
            </w:r>
          </w:p>
        </w:tc>
        <w:tc>
          <w:tcPr>
            <w:tcW w:type="dxa" w:w="2664"/>
          </w:tcPr>
          <w:p>
            <w:r/>
            <w:r>
              <w:rPr>
                <w:sz w:val="18"/>
              </w:rPr>
              <w:t>Same four states and definitions (deck slide 18 + workbook)</w:t>
            </w:r>
          </w:p>
        </w:tc>
        <w:tc>
          <w:tcPr>
            <w:tcW w:type="dxa" w:w="2376"/>
          </w:tcPr>
          <w:p>
            <w:r/>
            <w:r>
              <w:rPr>
                <w:sz w:val="18"/>
              </w:rPr>
              <w:t>ALIGNED</w:t>
            </w:r>
          </w:p>
        </w:tc>
      </w:tr>
      <w:tr>
        <w:tc>
          <w:tcPr>
            <w:tcW w:type="dxa" w:w="2232"/>
          </w:tcPr>
          <w:p>
            <w:r/>
            <w:r>
              <w:rPr>
                <w:sz w:val="18"/>
              </w:rPr>
              <w:t>Seven move categories, non-prescriptive by quadrant</w:t>
            </w:r>
          </w:p>
        </w:tc>
        <w:tc>
          <w:tcPr>
            <w:tcW w:type="dxa" w:w="2664"/>
          </w:tcPr>
          <w:p>
            <w:r/>
            <w:r>
              <w:rPr>
                <w:sz w:val="18"/>
              </w:rPr>
              <w:t>"What it deliberately does not contain is a move plan... it cannot decide your move"</w:t>
            </w:r>
          </w:p>
        </w:tc>
        <w:tc>
          <w:tcPr>
            <w:tcW w:type="dxa" w:w="2664"/>
          </w:tcPr>
          <w:p>
            <w:r/>
            <w:r>
              <w:rPr>
                <w:sz w:val="18"/>
              </w:rPr>
              <w:t>"Do not prescribe by quadrant... which of these does your evidence support?" (facilitator notes, slide 37)</w:t>
            </w:r>
          </w:p>
        </w:tc>
        <w:tc>
          <w:tcPr>
            <w:tcW w:type="dxa" w:w="2376"/>
          </w:tcPr>
          <w:p>
            <w:r/>
            <w:r>
              <w:rPr>
                <w:sz w:val="18"/>
              </w:rPr>
              <w:t>ALIGNED — same non-prescriptive posture</w:t>
            </w:r>
          </w:p>
        </w:tc>
      </w:tr>
      <w:tr>
        <w:tc>
          <w:tcPr>
            <w:tcW w:type="dxa" w:w="2232"/>
          </w:tcPr>
          <w:p>
            <w:r/>
            <w:r>
              <w:rPr>
                <w:sz w:val="18"/>
              </w:rPr>
              <w:t>AI framing — judgment stays human</w:t>
            </w:r>
          </w:p>
        </w:tc>
        <w:tc>
          <w:tcPr>
            <w:tcW w:type="dxa" w:w="2664"/>
          </w:tcPr>
          <w:p>
            <w:r/>
            <w:r>
              <w:rPr>
                <w:sz w:val="18"/>
              </w:rPr>
              <w:t>Appendix Self-Calibration Prompt: an interrogator, not a decider</w:t>
            </w:r>
          </w:p>
        </w:tc>
        <w:tc>
          <w:tcPr>
            <w:tcW w:type="dxa" w:w="2664"/>
          </w:tcPr>
          <w:p>
            <w:r/>
            <w:r>
              <w:rPr>
                <w:sz w:val="18"/>
              </w:rPr>
              <w:t>Deck slide 11 / workbook AI framing: AI supports the read, does not replace judgment</w:t>
            </w:r>
          </w:p>
        </w:tc>
        <w:tc>
          <w:tcPr>
            <w:tcW w:type="dxa" w:w="2376"/>
          </w:tcPr>
          <w:p>
            <w:r/>
            <w:r>
              <w:rPr>
                <w:sz w:val="18"/>
              </w:rPr>
              <w:t>ALIGNED</w:t>
            </w:r>
          </w:p>
        </w:tc>
      </w:tr>
    </w:tbl>
    <w:p>
      <w:pPr>
        <w:spacing w:after="120"/>
      </w:pPr>
    </w:p>
    <w:p>
      <w:pPr>
        <w:spacing w:before="80" w:after="80"/>
      </w:pPr>
      <w:r>
        <w:rPr>
          <w:color w:val="555555"/>
          <w:sz w:val="16"/>
        </w:rPr>
        <w:t>――――――――――――――――――――――――――――――――――――――――――――――――――――――――――――――――――――――</w:t>
      </w:r>
    </w:p>
    <w:p>
      <w:pPr>
        <w:spacing w:before="280" w:after="80"/>
      </w:pPr>
      <w:r>
        <w:rPr>
          <w:b/>
          <w:sz w:val="25"/>
        </w:rPr>
        <w:t>B. DIFFERENT BY DESIGN — confirmed intentional, not a conflict</w:t>
      </w:r>
    </w:p>
    <w:tbl>
      <w:tblPr>
        <w:tblStyle w:val="LightGrid-Accent1"/>
        <w:tblW w:type="auto" w:w="0"/>
        <w:tblLook w:firstColumn="1" w:firstRow="1" w:lastColumn="0" w:lastRow="0" w:noHBand="0" w:noVBand="1" w:val="04A0"/>
      </w:tblPr>
      <w:tblGrid>
        <w:gridCol w:w="2520"/>
        <w:gridCol w:w="2520"/>
        <w:gridCol w:w="2520"/>
        <w:gridCol w:w="2520"/>
      </w:tblGrid>
      <w:tr>
        <w:tc>
          <w:tcPr>
            <w:tcW w:type="dxa" w:w="1872"/>
          </w:tcPr>
          <w:p>
            <w:r/>
            <w:r>
              <w:rPr>
                <w:b/>
                <w:sz w:val="19"/>
              </w:rPr>
              <w:t>Item</w:t>
            </w:r>
          </w:p>
        </w:tc>
        <w:tc>
          <w:tcPr>
            <w:tcW w:type="dxa" w:w="3024"/>
          </w:tcPr>
          <w:p>
            <w:r/>
            <w:r>
              <w:rPr>
                <w:b/>
                <w:sz w:val="19"/>
              </w:rPr>
              <w:t>Field Kit</w:t>
            </w:r>
          </w:p>
        </w:tc>
        <w:tc>
          <w:tcPr>
            <w:tcW w:type="dxa" w:w="3024"/>
          </w:tcPr>
          <w:p>
            <w:r/>
            <w:r>
              <w:rPr>
                <w:b/>
                <w:sz w:val="19"/>
              </w:rPr>
              <w:t>Live workshop</w:t>
            </w:r>
          </w:p>
        </w:tc>
        <w:tc>
          <w:tcPr>
            <w:tcW w:type="dxa" w:w="2016"/>
          </w:tcPr>
          <w:p>
            <w:r/>
            <w:r>
              <w:rPr>
                <w:b/>
                <w:sz w:val="19"/>
              </w:rPr>
              <w:t>Why this is by design</w:t>
            </w:r>
          </w:p>
        </w:tc>
      </w:tr>
      <w:tr>
        <w:tc>
          <w:tcPr>
            <w:tcW w:type="dxa" w:w="1872"/>
          </w:tcPr>
          <w:p>
            <w:r/>
            <w:r>
              <w:rPr>
                <w:sz w:val="18"/>
              </w:rPr>
              <w:t>Evidence-collection sequence</w:t>
            </w:r>
          </w:p>
        </w:tc>
        <w:tc>
          <w:tcPr>
            <w:tcW w:type="dxa" w:w="3024"/>
          </w:tcPr>
          <w:p>
            <w:r/>
            <w:r>
              <w:rPr>
                <w:sz w:val="18"/>
              </w:rPr>
              <w:t>Single pass: the evidence line is written directly under every statement in Section 1, at first scoring.</w:t>
            </w:r>
          </w:p>
        </w:tc>
        <w:tc>
          <w:tcPr>
            <w:tcW w:type="dxa" w:w="3024"/>
          </w:tcPr>
          <w:p>
            <w:r/>
            <w:r>
              <w:rPr>
                <w:sz w:val="18"/>
              </w:rPr>
              <w:t>Two-stage: Part A explicitly states "No evidence line yet, and that is deliberate" — the initial read is scored blind, evidence is added only after the calibration teaching in Part B (the evidence protocol, p. 9).</w:t>
            </w:r>
          </w:p>
        </w:tc>
        <w:tc>
          <w:tcPr>
            <w:tcW w:type="dxa" w:w="2016"/>
          </w:tcPr>
          <w:p>
            <w:r/>
            <w:r>
              <w:rPr>
                <w:sz w:val="18"/>
              </w:rPr>
              <w:t>The Field Kit is self-guided and has no facilitator to teach the three misreadings before scoring, so it front-loads evidence. The live workshop deliberately withholds evidence at first pass so participants feel their uncalibrated instinct before correction — that contrast IS the pedagogical point of the two-hour session. Modifying the Field Kit to match would remove the reason someone pays for the live room.</w:t>
            </w:r>
          </w:p>
        </w:tc>
      </w:tr>
      <w:tr>
        <w:tc>
          <w:tcPr>
            <w:tcW w:type="dxa" w:w="1872"/>
          </w:tcPr>
          <w:p>
            <w:r/>
            <w:r>
              <w:rPr>
                <w:sz w:val="18"/>
              </w:rPr>
              <w:t>Calibration delivery</w:t>
            </w:r>
          </w:p>
        </w:tc>
        <w:tc>
          <w:tcPr>
            <w:tcW w:type="dxa" w:w="3024"/>
          </w:tcPr>
          <w:p>
            <w:r/>
            <w:r>
              <w:rPr>
                <w:sz w:val="18"/>
              </w:rPr>
              <w:t>Written worked examples (Section 3) the reader applies to themselves alone.</w:t>
            </w:r>
          </w:p>
        </w:tc>
        <w:tc>
          <w:tcPr>
            <w:tcW w:type="dxa" w:w="3024"/>
          </w:tcPr>
          <w:p>
            <w:r/>
            <w:r>
              <w:rPr>
                <w:sz w:val="18"/>
              </w:rPr>
              <w:t>Facilitator-led, in real time, with a room-level rescore and a protected 8-minute silent-work block.</w:t>
            </w:r>
          </w:p>
        </w:tc>
        <w:tc>
          <w:tcPr>
            <w:tcW w:type="dxa" w:w="2016"/>
          </w:tcPr>
          <w:p>
            <w:r/>
            <w:r>
              <w:rPr>
                <w:sz w:val="18"/>
              </w:rPr>
              <w:t>Same three misreadings, different delivery mechanism appropriate to each product's format.</w:t>
            </w:r>
          </w:p>
        </w:tc>
      </w:tr>
      <w:tr>
        <w:tc>
          <w:tcPr>
            <w:tcW w:type="dxa" w:w="1872"/>
          </w:tcPr>
          <w:p>
            <w:r/>
            <w:r>
              <w:rPr>
                <w:sz w:val="18"/>
              </w:rPr>
              <w:t>Version/instrument labeling</w:t>
            </w:r>
          </w:p>
        </w:tc>
        <w:tc>
          <w:tcPr>
            <w:tcW w:type="dxa" w:w="3024"/>
          </w:tcPr>
          <w:p>
            <w:r/>
            <w:r>
              <w:rPr>
                <w:sz w:val="18"/>
              </w:rPr>
              <w:t>No "Instrument Version 1.1" stamp anywhere in the Field Kit; it credits the diagnostic to "The Capability Audit" (Temidayo's book) as its origin.</w:t>
            </w:r>
          </w:p>
        </w:tc>
        <w:tc>
          <w:tcPr>
            <w:tcW w:type="dxa" w:w="3024"/>
          </w:tcPr>
          <w:p>
            <w:r/>
            <w:r>
              <w:rPr>
                <w:sz w:val="18"/>
              </w:rPr>
              <w:t>Workbook and deck both carry "CAPABILITY FORMATION INSTRUMENT VERSION 1.1" explicitly.</w:t>
            </w:r>
          </w:p>
        </w:tc>
        <w:tc>
          <w:tcPr>
            <w:tcW w:type="dxa" w:w="2016"/>
          </w:tcPr>
          <w:p>
            <w:r/>
            <w:r>
              <w:rPr>
                <w:sz w:val="18"/>
              </w:rPr>
              <w:t>The Field Kit is a consumer product that does not need internal version bookkeeping exposed to the reader; the live-workshop asset family does, because it is actively revised across dated sessions.</w:t>
            </w:r>
          </w:p>
        </w:tc>
      </w:tr>
    </w:tbl>
    <w:p>
      <w:pPr>
        <w:spacing w:after="120"/>
      </w:pPr>
    </w:p>
    <w:p>
      <w:pPr>
        <w:spacing w:before="80" w:after="80"/>
      </w:pPr>
      <w:r>
        <w:rPr>
          <w:color w:val="555555"/>
          <w:sz w:val="16"/>
        </w:rPr>
        <w:t>――――――――――――――――――――――――――――――――――――――――――――――――――――――――――――――――――――――</w:t>
      </w:r>
    </w:p>
    <w:p>
      <w:pPr>
        <w:spacing w:before="280" w:after="80"/>
      </w:pPr>
      <w:r>
        <w:rPr>
          <w:b/>
          <w:sz w:val="25"/>
        </w:rPr>
        <w:t>C. FUTURE-EDITION NOTE — recorded, not edited, not a conflict</w:t>
      </w:r>
    </w:p>
    <w:p>
      <w:pPr>
        <w:spacing w:after="40" w:before="0"/>
      </w:pPr>
      <w:r>
        <w:rPr>
          <w:b w:val="0"/>
          <w:i/>
          <w:color w:val="000000"/>
          <w:sz w:val="20"/>
        </w:rPr>
        <w:t>The closing line of the four-case narrative in Section 2 ("The States in the Field," p. 9):</w:t>
      </w:r>
    </w:p>
    <w:p>
      <w:pPr>
        <w:spacing w:after="120" w:before="0"/>
      </w:pPr>
      <w:r>
        <w:rPr>
          <w:b/>
          <w:i w:val="0"/>
          <w:color w:val="000000"/>
          <w:sz w:val="22"/>
        </w:rPr>
        <w:t>“Four states, one common fact: the number was a map, and the move it pointed to worked.”</w:t>
      </w:r>
    </w:p>
    <w:p>
      <w:pPr>
        <w:spacing w:after="160" w:before="0"/>
      </w:pPr>
      <w:r>
        <w:rPr>
          <w:b w:val="0"/>
          <w:i w:val="0"/>
          <w:color w:val="000000"/>
          <w:sz w:val="20"/>
        </w:rPr>
        <w:t>Read narrowly, this could suggest the diagnostic itself prescribes or predicts a specific successful move — in tension with the Field Kit's own explicit operational language elsewhere: the Position Card's “Diagnosis only. What to do about it is a different conversation, and it is not on this card,” the Self-Read Skeleton's “direction only, not the plan,” and the closing section's “What it deliberately does not contain is a move plan... it cannot decide your move.” In context, the line is narrative/motivational copy summarizing four real case studies (each of whom went on to make a move that worked), not an operational instruction — and it does not instruct a participant to do anything, so it creates no incompatible live-workshop rule. Per the adjudication update, this is recorded as a FUTURE-EDITION NOTE — a candidate for a small wording clarification in a future Field Kit revision — and is NOT treated as a conflict and NOT edited in this pass.</w:t>
      </w:r>
    </w:p>
    <w:p>
      <w:pPr>
        <w:spacing w:before="80" w:after="80"/>
      </w:pPr>
      <w:r>
        <w:rPr>
          <w:color w:val="555555"/>
          <w:sz w:val="16"/>
        </w:rPr>
        <w:t>――――――――――――――――――――――――――――――――――――――――――――――――――――――――――――――――――――――</w:t>
      </w:r>
    </w:p>
    <w:p>
      <w:pPr>
        <w:spacing w:before="280" w:after="80"/>
      </w:pPr>
      <w:r>
        <w:rPr>
          <w:b/>
          <w:sz w:val="25"/>
        </w:rPr>
        <w:t>D. TRUE CONFLICT</w:t>
      </w:r>
    </w:p>
    <w:p>
      <w:pPr>
        <w:spacing w:after="160" w:before="0"/>
      </w:pPr>
      <w:r>
        <w:rPr>
          <w:b/>
          <w:i w:val="0"/>
          <w:color w:val="1A7A1A"/>
          <w:sz w:val="22"/>
        </w:rPr>
        <w:t>None found. No wording anywhere in the Field Kit instructs a participant to follow a live-workshop procedure differently than the deck or workbook does.</w:t>
      </w:r>
    </w:p>
    <w:p>
      <w:pPr>
        <w:spacing w:before="80" w:after="80"/>
      </w:pPr>
      <w:r>
        <w:rPr>
          <w:color w:val="555555"/>
          <w:sz w:val="16"/>
        </w:rPr>
        <w:t>――――――――――――――――――――――――――――――――――――――――――――――――――――――――――――――――――――――</w:t>
      </w:r>
    </w:p>
    <w:p>
      <w:pPr>
        <w:spacing w:before="280" w:after="80"/>
      </w:pPr>
      <w:r>
        <w:rPr>
          <w:b/>
          <w:sz w:val="25"/>
        </w:rPr>
        <w:t>Explicitly out of scope for this pass</w:t>
      </w:r>
    </w:p>
    <w:p>
      <w:pPr>
        <w:spacing w:after="160" w:before="0"/>
      </w:pPr>
      <w:r>
        <w:rPr>
          <w:b w:val="0"/>
          <w:i/>
          <w:color w:val="555555"/>
          <w:sz w:val="20"/>
        </w:rPr>
        <w:t>No “Field Kit Instrument Version 1.1 alignment candidate” deliverable was produced. That item is removed from the Phase 2A deliverable list per the adjudication update and no replacement Field Kit PDF of any kind was generated.</w:t>
      </w:r>
    </w:p>
    <w:p>
      <w:pPr>
        <w:spacing w:before="80" w:after="80"/>
      </w:pPr>
      <w:r>
        <w:rPr>
          <w:color w:val="555555"/>
          <w:sz w:val="16"/>
        </w:rPr>
        <w:t>――――――――――――――――――――――――――――――――――――――――――――――――――――――――――――――――――――――</w:t>
      </w:r>
    </w:p>
    <w:p>
      <w:pPr>
        <w:spacing w:before="280" w:after="80"/>
      </w:pPr>
      <w:r>
        <w:rPr>
          <w:b/>
          <w:sz w:val="25"/>
        </w:rPr>
        <w:t>Overall result</w:t>
      </w:r>
    </w:p>
    <w:p>
      <w:pPr>
        <w:spacing w:after="120" w:before="0"/>
      </w:pPr>
      <w:r>
        <w:rPr>
          <w:b/>
          <w:i w:val="0"/>
          <w:color w:val="1A7A1A"/>
          <w:sz w:val="24"/>
        </w:rPr>
        <w:t>PASS — no launch-blocking conflict. 8 SAME MECHANIC items confirmed aligned, 3 DIFFERENT BY DESIGN items confirmed intentional, 1 FUTURE-EDITION NOTE recorded, 0 TRUE CONFLICTS.</w:t>
      </w:r>
    </w:p>
    <w:p>
      <w:pPr>
        <w:spacing w:before="80" w:after="80"/>
      </w:pPr>
      <w:r>
        <w:rPr>
          <w:color w:val="555555"/>
          <w:sz w:val="16"/>
        </w:rPr>
        <w:t>――――――――――――――――――――――――――――――――――――――――――――――――――――――――――――――――――――――</w:t>
      </w:r>
    </w:p>
    <w:p>
      <w:pPr>
        <w:spacing w:after="120" w:before="120"/>
      </w:pPr>
      <w:r>
        <w:rPr>
          <w:b/>
          <w:i w:val="0"/>
          <w:color w:val="555555"/>
          <w:sz w:val="16"/>
        </w:rPr>
        <w:t>FIELD KIT × LIVE WORKSHOP — CROSS-ASSET ALIGNMENT AUDIT v1.0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