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12 rendered teaching and end-card states across 12 active families and 15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TRAP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32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1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events, 2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states across 15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Sound accents stay inside the 4 to 7 band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accents, each one named by the brief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accent word is spoken inside its own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accent and the scene it belongs to are the same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open loop is set up and paid off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loop this video opens is answered in its own payoff section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power word anywhere in this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title, thumbnail, master and all three Shorts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families, 12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