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NEW PUBLIC V6</w:t>
      </w:r>
    </w:p>
    <w:p>
      <w:pPr>
        <w:spacing w:before="0" w:after="280"/>
      </w:pPr>
      <w:r>
        <w:rPr>
          <w:b w:val="0"/>
          <w:i w:val="0"/>
          <w:color w:val="5A6B82"/>
          <w:sz w:val="20"/>
        </w:rPr>
        <w:t>Internal posting register</w:t>
      </w:r>
    </w:p>
    <w:p>
      <w:pPr>
        <w:spacing w:before="0" w:after="240"/>
        <w:pBdr>
          <w:bottom w:val="single" w:sz="6" w:color="8A6D1E"/>
        </w:pBdr>
      </w:pPr>
    </w:p>
    <w:p>
      <w:pPr>
        <w:spacing w:after="80"/>
      </w:pPr>
      <w:r>
        <w:rPr>
          <w:b/>
          <w:color w:val="8A6D1E"/>
          <w:sz w:val="20"/>
        </w:rPr>
        <w:t xml:space="preserve">Generated  </w:t>
      </w:r>
      <w:r>
        <w:rPr>
          <w:sz w:val="21"/>
        </w:rPr>
        <w:t>Saturday, September 19, 2026 | 7:08 AM CT</w:t>
      </w:r>
    </w:p>
    <w:p>
      <w:pPr>
        <w:spacing w:before="200" w:after="200"/>
        <w:ind w:left="216"/>
        <w:pBdr>
          <w:left w:val="single" w:sz="18" w:color="9B2C10" w:space="8"/>
        </w:pBdr>
        <w:keepNext w:val="1"/>
        <w:keepLines w:val="1"/>
      </w:pPr>
      <w:r>
        <w:rPr>
          <w:b/>
          <w:color w:val="9B2C10"/>
          <w:sz w:val="21"/>
        </w:rPr>
        <w:t>INTERNAL RECORD. NEVER DISPLAY COPY. This is the named provenance behind V6's anonymized public teaching layer. It is kept in this package so the research stays traceable, and it must not reach a script, a card, a cutaway, a Short or any publishing material.</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152"/>
            <w:shd w:val="clear" w:color="auto" w:fill="F3EFE6"/>
          </w:tcPr>
          <w:p>
            <w:pPr>
              <w:spacing w:before="60" w:after="60" w:line="264" w:lineRule="auto"/>
            </w:pPr>
            <w:r/>
            <w:r>
              <w:rPr>
                <w:b/>
                <w:i w:val="0"/>
                <w:color w:val="112345"/>
                <w:sz w:val="17"/>
              </w:rPr>
            </w:r>
          </w:p>
        </w:tc>
        <w:tc>
          <w:tcPr>
            <w:tcW w:type="dxa" w:w="3168"/>
            <w:shd w:val="clear" w:color="auto" w:fill="F3EFE6"/>
          </w:tcPr>
          <w:p>
            <w:pPr>
              <w:spacing w:before="60" w:after="60" w:line="264" w:lineRule="auto"/>
            </w:pPr>
            <w:r/>
            <w:r>
              <w:rPr>
                <w:b/>
                <w:i w:val="0"/>
                <w:color w:val="112345"/>
                <w:sz w:val="17"/>
              </w:rPr>
              <w:t>ROLE AS POSTED</w:t>
            </w:r>
          </w:p>
        </w:tc>
        <w:tc>
          <w:tcPr>
            <w:tcW w:type="dxa" w:w="3168"/>
            <w:shd w:val="clear" w:color="auto" w:fill="F3EFE6"/>
          </w:tcPr>
          <w:p>
            <w:pPr>
              <w:spacing w:before="60" w:after="60" w:line="264" w:lineRule="auto"/>
            </w:pPr>
            <w:r/>
            <w:r>
              <w:rPr>
                <w:b/>
                <w:i w:val="0"/>
                <w:color w:val="112345"/>
                <w:sz w:val="17"/>
              </w:rPr>
              <w:t>EMPLOYER, INTERNAL</w:t>
            </w:r>
          </w:p>
        </w:tc>
        <w:tc>
          <w:tcPr>
            <w:tcW w:type="dxa" w:w="2160"/>
            <w:shd w:val="clear" w:color="auto" w:fill="F3EFE6"/>
          </w:tcPr>
          <w:p>
            <w:pPr>
              <w:spacing w:before="60" w:after="60" w:line="264" w:lineRule="auto"/>
            </w:pPr>
            <w:r/>
            <w:r>
              <w:rPr>
                <w:b/>
                <w:i w:val="0"/>
                <w:color w:val="112345"/>
                <w:sz w:val="17"/>
              </w:rPr>
              <w:t>PUBLIC LABEL</w:t>
            </w:r>
          </w:p>
        </w:tc>
      </w:tr>
      <w:tr>
        <w:tc>
          <w:tcPr>
            <w:tcW w:type="dxa" w:w="1152"/>
          </w:tcPr>
          <w:p>
            <w:pPr>
              <w:spacing w:before="60" w:after="60" w:line="264" w:lineRule="auto"/>
            </w:pPr>
            <w:r/>
            <w:r>
              <w:rPr>
                <w:b w:val="0"/>
                <w:i w:val="0"/>
                <w:sz w:val="15"/>
              </w:rPr>
              <w:t>Posting one</w:t>
            </w:r>
          </w:p>
        </w:tc>
        <w:tc>
          <w:tcPr>
            <w:tcW w:type="dxa" w:w="3168"/>
          </w:tcPr>
          <w:p>
            <w:pPr>
              <w:spacing w:before="60" w:after="60" w:line="264" w:lineRule="auto"/>
            </w:pPr>
            <w:r/>
            <w:r>
              <w:rPr>
                <w:b w:val="0"/>
                <w:i w:val="0"/>
                <w:sz w:val="15"/>
              </w:rPr>
              <w:t>Sr Divisional Strategy Consultant, Governance</w:t>
            </w:r>
          </w:p>
        </w:tc>
        <w:tc>
          <w:tcPr>
            <w:tcW w:type="dxa" w:w="3168"/>
          </w:tcPr>
          <w:p>
            <w:pPr>
              <w:spacing w:before="60" w:after="60" w:line="264" w:lineRule="auto"/>
            </w:pPr>
            <w:r/>
            <w:r>
              <w:rPr>
                <w:b w:val="0"/>
                <w:i w:val="0"/>
                <w:sz w:val="15"/>
              </w:rPr>
              <w:t>Health Care Service Corporation (HCSC), requisition R0055598</w:t>
            </w:r>
          </w:p>
        </w:tc>
        <w:tc>
          <w:tcPr>
            <w:tcW w:type="dxa" w:w="2160"/>
          </w:tcPr>
          <w:p>
            <w:pPr>
              <w:spacing w:before="60" w:after="60" w:line="264" w:lineRule="auto"/>
            </w:pPr>
            <w:r/>
            <w:r>
              <w:rPr>
                <w:b w:val="0"/>
                <w:i w:val="0"/>
                <w:sz w:val="15"/>
              </w:rPr>
              <w:t>Large Health Insurer</w:t>
            </w:r>
          </w:p>
        </w:tc>
      </w:tr>
      <w:tr>
        <w:tc>
          <w:tcPr>
            <w:tcW w:type="dxa" w:w="1152"/>
          </w:tcPr>
          <w:p>
            <w:pPr>
              <w:spacing w:before="60" w:after="60" w:line="264" w:lineRule="auto"/>
            </w:pPr>
            <w:r/>
            <w:r>
              <w:rPr>
                <w:b w:val="0"/>
                <w:i w:val="0"/>
                <w:sz w:val="15"/>
              </w:rPr>
              <w:t>Posting two</w:t>
            </w:r>
          </w:p>
        </w:tc>
        <w:tc>
          <w:tcPr>
            <w:tcW w:type="dxa" w:w="3168"/>
          </w:tcPr>
          <w:p>
            <w:pPr>
              <w:spacing w:before="60" w:after="60" w:line="264" w:lineRule="auto"/>
            </w:pPr>
            <w:r/>
            <w:r>
              <w:rPr>
                <w:b w:val="0"/>
                <w:i w:val="0"/>
                <w:sz w:val="15"/>
              </w:rPr>
              <w:t>Director of Enterprise Resilience</w:t>
            </w:r>
          </w:p>
        </w:tc>
        <w:tc>
          <w:tcPr>
            <w:tcW w:type="dxa" w:w="3168"/>
          </w:tcPr>
          <w:p>
            <w:pPr>
              <w:spacing w:before="60" w:after="60" w:line="264" w:lineRule="auto"/>
            </w:pPr>
            <w:r/>
            <w:r>
              <w:rPr>
                <w:b w:val="0"/>
                <w:i w:val="0"/>
                <w:sz w:val="15"/>
              </w:rPr>
              <w:t>Health Care Service Corporation (HCSC), same employer</w:t>
            </w:r>
          </w:p>
        </w:tc>
        <w:tc>
          <w:tcPr>
            <w:tcW w:type="dxa" w:w="2160"/>
          </w:tcPr>
          <w:p>
            <w:pPr>
              <w:spacing w:before="60" w:after="60" w:line="264" w:lineRule="auto"/>
            </w:pPr>
            <w:r/>
            <w:r>
              <w:rPr>
                <w:b w:val="0"/>
                <w:i w:val="0"/>
                <w:sz w:val="15"/>
              </w:rPr>
              <w:t>Large Health Insurer</w:t>
            </w:r>
          </w:p>
        </w:tc>
      </w:tr>
      <w:tr>
        <w:tc>
          <w:tcPr>
            <w:tcW w:type="dxa" w:w="1152"/>
          </w:tcPr>
          <w:p>
            <w:pPr>
              <w:spacing w:before="60" w:after="60" w:line="264" w:lineRule="auto"/>
            </w:pPr>
            <w:r/>
            <w:r>
              <w:rPr>
                <w:b w:val="0"/>
                <w:i w:val="0"/>
                <w:sz w:val="15"/>
              </w:rPr>
              <w:t>Posting three</w:t>
            </w:r>
          </w:p>
        </w:tc>
        <w:tc>
          <w:tcPr>
            <w:tcW w:type="dxa" w:w="3168"/>
          </w:tcPr>
          <w:p>
            <w:pPr>
              <w:spacing w:before="60" w:after="60" w:line="264" w:lineRule="auto"/>
            </w:pPr>
            <w:r/>
            <w:r>
              <w:rPr>
                <w:b w:val="0"/>
                <w:i w:val="0"/>
                <w:sz w:val="15"/>
              </w:rPr>
              <w:t>Director, Talent Management</w:t>
            </w:r>
          </w:p>
        </w:tc>
        <w:tc>
          <w:tcPr>
            <w:tcW w:type="dxa" w:w="3168"/>
          </w:tcPr>
          <w:p>
            <w:pPr>
              <w:spacing w:before="60" w:after="60" w:line="264" w:lineRule="auto"/>
            </w:pPr>
            <w:r/>
            <w:r>
              <w:rPr>
                <w:b w:val="0"/>
                <w:i w:val="0"/>
                <w:sz w:val="15"/>
              </w:rPr>
              <w:t>Zeta Global</w:t>
            </w:r>
          </w:p>
        </w:tc>
        <w:tc>
          <w:tcPr>
            <w:tcW w:type="dxa" w:w="2160"/>
          </w:tcPr>
          <w:p>
            <w:pPr>
              <w:spacing w:before="60" w:after="60" w:line="264" w:lineRule="auto"/>
            </w:pPr>
            <w:r/>
            <w:r>
              <w:rPr>
                <w:b w:val="0"/>
                <w:i w:val="0"/>
                <w:sz w:val="15"/>
              </w:rPr>
              <w:t>Marketing Technology Company</w:t>
            </w:r>
          </w:p>
        </w:tc>
      </w:tr>
      <w:tr>
        <w:tc>
          <w:tcPr>
            <w:tcW w:type="dxa" w:w="1152"/>
          </w:tcPr>
          <w:p>
            <w:pPr>
              <w:spacing w:before="60" w:after="60" w:line="264" w:lineRule="auto"/>
            </w:pPr>
            <w:r/>
            <w:r>
              <w:rPr>
                <w:b w:val="0"/>
                <w:i w:val="0"/>
                <w:sz w:val="15"/>
              </w:rPr>
              <w:t>Posting four</w:t>
            </w:r>
          </w:p>
        </w:tc>
        <w:tc>
          <w:tcPr>
            <w:tcW w:type="dxa" w:w="3168"/>
          </w:tcPr>
          <w:p>
            <w:pPr>
              <w:spacing w:before="60" w:after="60" w:line="264" w:lineRule="auto"/>
            </w:pPr>
            <w:r/>
            <w:r>
              <w:rPr>
                <w:b w:val="0"/>
                <w:i w:val="0"/>
                <w:sz w:val="15"/>
              </w:rPr>
              <w:t>Director of Strategic Initiatives</w:t>
            </w:r>
          </w:p>
        </w:tc>
        <w:tc>
          <w:tcPr>
            <w:tcW w:type="dxa" w:w="3168"/>
          </w:tcPr>
          <w:p>
            <w:pPr>
              <w:spacing w:before="60" w:after="60" w:line="264" w:lineRule="auto"/>
            </w:pPr>
            <w:r/>
            <w:r>
              <w:rPr>
                <w:b w:val="0"/>
                <w:i w:val="0"/>
                <w:sz w:val="15"/>
              </w:rPr>
              <w:t>Patriot Growth Insurance Services</w:t>
            </w:r>
          </w:p>
        </w:tc>
        <w:tc>
          <w:tcPr>
            <w:tcW w:type="dxa" w:w="2160"/>
          </w:tcPr>
          <w:p>
            <w:pPr>
              <w:spacing w:before="60" w:after="60" w:line="264" w:lineRule="auto"/>
            </w:pPr>
            <w:r/>
            <w:r>
              <w:rPr>
                <w:b w:val="0"/>
                <w:i w:val="0"/>
                <w:sz w:val="15"/>
              </w:rPr>
              <w:t>Insurance Brokerage</w:t>
            </w:r>
          </w:p>
        </w:tc>
      </w:tr>
      <w:tr>
        <w:tc>
          <w:tcPr>
            <w:tcW w:type="dxa" w:w="1152"/>
          </w:tcPr>
          <w:p>
            <w:pPr>
              <w:spacing w:before="60" w:after="60" w:line="264" w:lineRule="auto"/>
            </w:pPr>
            <w:r/>
            <w:r>
              <w:rPr>
                <w:b w:val="0"/>
                <w:i w:val="0"/>
                <w:sz w:val="15"/>
              </w:rPr>
              <w:t>Posting five</w:t>
            </w:r>
          </w:p>
        </w:tc>
        <w:tc>
          <w:tcPr>
            <w:tcW w:type="dxa" w:w="3168"/>
          </w:tcPr>
          <w:p>
            <w:pPr>
              <w:spacing w:before="60" w:after="60" w:line="264" w:lineRule="auto"/>
            </w:pPr>
            <w:r/>
            <w:r>
              <w:rPr>
                <w:b w:val="0"/>
                <w:i w:val="0"/>
                <w:sz w:val="15"/>
              </w:rPr>
              <w:t>Member of Technical Staff, Governance Risk Compliance</w:t>
            </w:r>
          </w:p>
        </w:tc>
        <w:tc>
          <w:tcPr>
            <w:tcW w:type="dxa" w:w="3168"/>
          </w:tcPr>
          <w:p>
            <w:pPr>
              <w:spacing w:before="60" w:after="60" w:line="264" w:lineRule="auto"/>
            </w:pPr>
            <w:r/>
            <w:r>
              <w:rPr>
                <w:b w:val="0"/>
                <w:i w:val="0"/>
                <w:sz w:val="15"/>
              </w:rPr>
              <w:t>xAI</w:t>
            </w:r>
          </w:p>
        </w:tc>
        <w:tc>
          <w:tcPr>
            <w:tcW w:type="dxa" w:w="2160"/>
          </w:tcPr>
          <w:p>
            <w:pPr>
              <w:spacing w:before="60" w:after="60" w:line="264" w:lineRule="auto"/>
            </w:pPr>
            <w:r/>
            <w:r>
              <w:rPr>
                <w:b w:val="0"/>
                <w:i w:val="0"/>
                <w:sz w:val="15"/>
              </w:rPr>
              <w:t>AI Company</w:t>
            </w:r>
          </w:p>
        </w:tc>
      </w:tr>
      <w:tr>
        <w:tc>
          <w:tcPr>
            <w:tcW w:type="dxa" w:w="1152"/>
          </w:tcPr>
          <w:p>
            <w:pPr>
              <w:spacing w:before="60" w:after="60" w:line="264" w:lineRule="auto"/>
            </w:pPr>
            <w:r/>
            <w:r>
              <w:rPr>
                <w:b w:val="0"/>
                <w:i w:val="0"/>
                <w:sz w:val="15"/>
              </w:rPr>
              <w:t>Posting six</w:t>
            </w:r>
          </w:p>
        </w:tc>
        <w:tc>
          <w:tcPr>
            <w:tcW w:type="dxa" w:w="3168"/>
          </w:tcPr>
          <w:p>
            <w:pPr>
              <w:spacing w:before="60" w:after="60" w:line="264" w:lineRule="auto"/>
            </w:pPr>
            <w:r/>
            <w:r>
              <w:rPr>
                <w:b w:val="0"/>
                <w:i w:val="0"/>
                <w:sz w:val="15"/>
              </w:rPr>
              <w:t>Director of Global Talent Acquisition</w:t>
            </w:r>
          </w:p>
        </w:tc>
        <w:tc>
          <w:tcPr>
            <w:tcW w:type="dxa" w:w="3168"/>
          </w:tcPr>
          <w:p>
            <w:pPr>
              <w:spacing w:before="60" w:after="60" w:line="264" w:lineRule="auto"/>
            </w:pPr>
            <w:r/>
            <w:r>
              <w:rPr>
                <w:b w:val="0"/>
                <w:i w:val="0"/>
                <w:sz w:val="15"/>
              </w:rPr>
              <w:t>GiveDirectly</w:t>
            </w:r>
          </w:p>
        </w:tc>
        <w:tc>
          <w:tcPr>
            <w:tcW w:type="dxa" w:w="2160"/>
          </w:tcPr>
          <w:p>
            <w:pPr>
              <w:spacing w:before="60" w:after="60" w:line="264" w:lineRule="auto"/>
            </w:pPr>
            <w:r/>
            <w:r>
              <w:rPr>
                <w:b w:val="0"/>
                <w:i w:val="0"/>
                <w:sz w:val="15"/>
              </w:rPr>
              <w:t>A global nonprofit, spoken</w:t>
            </w:r>
          </w:p>
        </w:tc>
      </w:tr>
    </w:tbl>
    <w:p>
      <w:pPr>
        <w:spacing w:after="120"/>
      </w:pPr>
    </w:p>
    <w:p>
      <w:pPr>
        <w:spacing w:before="100" w:after="200"/>
      </w:pPr>
      <w:r>
        <w:rPr>
          <w:b w:val="0"/>
          <w:i w:val="0"/>
          <w:color w:val="5A6B82"/>
          <w:sz w:val="19"/>
        </w:rPr>
        <w:t>Captured September 12, 2026. 15 postings across 11 employers; the six above are the ones a card shows.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