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34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34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1,096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37 rendered teaching and end-card states across 19 active families and 23 events,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personal introduction, intentionally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V6 and V8 carry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34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34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V6 public employer substitution retained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anonymous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framework words retained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PROBLEM. AUTHORITY. PROOF. REAL GAP.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35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opening steps, 3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37 states, every one cued by an event; the contact sheet is listed separately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event list, verified against the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events, 2 of them spanning more than one paragraph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full-screen event lands on a camera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camera map and the prompt are generated from the same events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state activates on words spoken in its own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37 states across 23 events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later answer is revealed before its words are spoken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reveal order follows the spoken order inside every event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boundary phrase is complete, never truncated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entry and exit wording wraps rather than cutting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Visual entry and accent word are separate fields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sound events, each one record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Sound accents stay inside the 4 to 7 band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accents, each one named by the brief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accent word is spoken inside its own event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accent and the scene it belongs to are the same event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 loop is set up and paid off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loop this video opens is answered in its own payoff section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power word anywhere in this package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title, thumbnail, master and all three Shorts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reused family is one family at more than one event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families, 21 events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