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19 rendered teaching and end-card states across 15 active families and 17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 across 17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families, 15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