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V10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Your First 90 Days in a New Job: What Really Matters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Experienced but New to the Context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117 words, about 0:43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7:08 AM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You can be experienced and still be new to the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I’ve been the new person many times across different roles and industries, and I’ve also spent years thinking about how people actually build capability at work.</w:t>
      </w:r>
    </w:p>
    <w:p>
      <w:pPr>
        <w:spacing w:before="0" w:after="80"/>
      </w:pPr>
      <w:r>
        <w:rPr>
          <w:b w:val="0"/>
          <w:i w:val="0"/>
          <w:sz w:val="22"/>
        </w:rPr>
        <w:t>One thing those moves taught me is that experience and context are not the same thing.</w:t>
      </w:r>
    </w:p>
    <w:p>
      <w:pPr>
        <w:spacing w:before="0" w:after="80"/>
      </w:pPr>
      <w:r>
        <w:rPr>
          <w:b w:val="0"/>
          <w:i w:val="0"/>
          <w:sz w:val="22"/>
        </w:rPr>
        <w:t>You do not know which rule is a real rule and which one is simply how the last person did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That is why I would not spend the first 90 days trying to prove that everything you already know works here. I would spend them finding the boundary between what you brought with you and what this environment still has to teach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be experienced and still be new to the context.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NEW_V10_FS_02_EXPERIENCED_BUT_NEW, reframed to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“context”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NEW_V10_FS_04_FORMAL_VS_REAL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“which rule is a real rule”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NEW_V10_FS_02_EXPERIENCED_BUT_NEW,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