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39 rendered teaching and end-card states across 17 active families and 20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events, 3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 across 20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families, 17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