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2" w:line="274" w:lineRule="auto"/>
      </w:pPr>
      <w:r>
        <w:rPr>
          <w:b/>
          <w:i w:val="0"/>
          <w:color w:val="9B2C10"/>
          <w:sz w:val="44"/>
        </w:rPr>
        <w:t>EDITOR ONLY</w:t>
      </w:r>
    </w:p>
    <w:p>
      <w:pPr>
        <w:spacing w:before="0" w:after="22" w:line="274" w:lineRule="auto"/>
      </w:pPr>
      <w:r>
        <w:rPr>
          <w:b/>
          <w:i w:val="0"/>
          <w:caps/>
          <w:color w:val="8A6D1E"/>
          <w:sz w:val="24"/>
        </w:rPr>
        <w:t>VIDEO 8</w:t>
      </w:r>
    </w:p>
    <w:p>
      <w:pPr>
        <w:spacing w:before="0" w:after="68" w:line="264" w:lineRule="auto"/>
      </w:pPr>
      <w:r>
        <w:rPr>
          <w:b/>
          <w:i w:val="0"/>
          <w:color w:val="0F2346"/>
          <w:sz w:val="40"/>
        </w:rPr>
        <w:t>How to Switch Industries Without Starting Over</w:t>
      </w:r>
    </w:p>
    <w:p>
      <w:pPr>
        <w:spacing w:before="0" w:after="180" w:line="274" w:lineRule="auto"/>
        <w:shd w:val="clear" w:fill="F3F0E8"/>
      </w:pPr>
      <w:r>
        <w:rPr>
          <w:b w:val="0"/>
          <w:i/>
          <w:color w:val="5A6B82"/>
          <w:sz w:val="22"/>
        </w:rPr>
        <w:t>This document is for the editor. It is NOT Temidayo's teleprompter and must not be placed on the recording screen.</w:t>
      </w:r>
    </w:p>
    <w:p>
      <w:pPr>
        <w:spacing w:before="156" w:after="90" w:line="274" w:lineRule="auto"/>
        <w:keepLines w:val="1"/>
        <w:keepNext w:val="1"/>
      </w:pPr>
      <w:r>
        <w:rPr>
          <w:b/>
          <w:i w:val="0"/>
          <w:color w:val="0F2346"/>
          <w:sz w:val="28"/>
        </w:rPr>
        <w:t>Locked metadata</w:t>
      </w:r>
    </w:p>
    <w:p>
      <w:pPr>
        <w:spacing w:before="0" w:after="56" w:line="274" w:lineRule="auto"/>
        <w:keepLines w:val="1"/>
      </w:pPr>
      <w:r>
        <w:rPr>
          <w:b w:val="0"/>
          <w:i w:val="0"/>
          <w:sz w:val="22"/>
        </w:rPr>
        <w:t>Title:                   How to Switch Industries Without Starting Over</w:t>
      </w:r>
    </w:p>
    <w:p>
      <w:pPr>
        <w:spacing w:before="0" w:after="56" w:line="274" w:lineRule="auto"/>
        <w:keepLines w:val="1"/>
      </w:pPr>
      <w:r>
        <w:rPr>
          <w:b w:val="0"/>
          <w:i w:val="0"/>
          <w:sz w:val="22"/>
        </w:rPr>
        <w:t>Thumbnail:               YOUR EXPERIENCE STILL COUNTS</w:t>
      </w:r>
    </w:p>
    <w:p>
      <w:pPr>
        <w:spacing w:before="0" w:after="56" w:line="274" w:lineRule="auto"/>
        <w:keepLines w:val="1"/>
      </w:pPr>
      <w:r>
        <w:rPr>
          <w:b w:val="0"/>
          <w:i w:val="0"/>
          <w:sz w:val="22"/>
        </w:rPr>
        <w:t>CTA:                     Capability Formation Field Kit</w:t>
      </w:r>
    </w:p>
    <w:p>
      <w:pPr>
        <w:spacing w:before="0" w:after="56" w:line="274" w:lineRule="auto"/>
        <w:keepLines w:val="1"/>
      </w:pPr>
      <w:r>
        <w:rPr>
          <w:b w:val="0"/>
          <w:i w:val="0"/>
          <w:sz w:val="22"/>
        </w:rPr>
        <w:t>CTA URL:                 https://temidayoafonja.com/fieldkit</w:t>
      </w:r>
    </w:p>
    <w:p>
      <w:pPr>
        <w:spacing w:before="0" w:after="56" w:line="274" w:lineRule="auto"/>
        <w:keepLines w:val="1"/>
      </w:pPr>
      <w:r>
        <w:rPr>
          <w:b w:val="0"/>
          <w:i w:val="0"/>
          <w:sz w:val="22"/>
        </w:rPr>
        <w:t>Watch next:              What to Do Before a Layoff Happens</w:t>
      </w:r>
    </w:p>
    <w:p>
      <w:pPr>
        <w:spacing w:before="0" w:after="56" w:line="274" w:lineRule="auto"/>
        <w:keepLines w:val="1"/>
      </w:pPr>
      <w:r>
        <w:rPr>
          <w:b w:val="0"/>
          <w:i w:val="0"/>
          <w:sz w:val="22"/>
        </w:rPr>
        <w:t>Core teaching:           WHAT TRAVELS · WHAT CHANGES · WHAT I MUST EARN</w:t>
      </w:r>
    </w:p>
    <w:p>
      <w:pPr>
        <w:spacing w:before="0" w:after="56" w:line="274" w:lineRule="auto"/>
        <w:keepLines w:val="1"/>
      </w:pPr>
      <w:r>
        <w:rPr>
          <w:b w:val="0"/>
          <w:i w:val="0"/>
          <w:sz w:val="22"/>
        </w:rPr>
        <w:t>Core distinction:        Changing industries does not make you entry-level at everything. It makes you new to a context.</w:t>
      </w:r>
    </w:p>
    <w:p>
      <w:pPr>
        <w:spacing w:before="0" w:after="56" w:line="274" w:lineRule="auto"/>
        <w:keepLines w:val="1"/>
      </w:pPr>
      <w:r>
        <w:rPr>
          <w:b w:val="0"/>
          <w:i w:val="0"/>
          <w:sz w:val="22"/>
        </w:rPr>
        <w:t>Credibility boundary:    Not everything transfers.</w:t>
      </w:r>
    </w:p>
    <w:p>
      <w:pPr>
        <w:spacing w:before="156" w:after="90" w:line="274" w:lineRule="auto"/>
        <w:keepLines w:val="1"/>
        <w:keepNext w:val="1"/>
      </w:pPr>
      <w:r>
        <w:rPr>
          <w:b/>
          <w:i w:val="0"/>
          <w:color w:val="0F2346"/>
          <w:sz w:val="28"/>
        </w:rPr>
        <w:t>Script marker → slide number → live slide title</w:t>
      </w:r>
    </w:p>
    <w:p>
      <w:pPr>
        <w:spacing w:before="0" w:after="112" w:line="274" w:lineRule="auto"/>
        <w:keepLines w:val="1"/>
      </w:pPr>
      <w:r>
        <w:rPr>
          <w:b w:val="0"/>
          <w:i w:val="0"/>
          <w:color w:val="5A6B82"/>
          <w:sz w:val="21"/>
        </w:rPr>
        <w:t>The twelve [SLIDE: ...] markers map to the twelve deck slides BY POSITION, in order, one to one. Marker 12 is named Watch Next, but the live slide 12 is the CONTINUE THE SERIES / CAREER PORTABILITY card and carries no video title. Follow the slide number in this table, not the marker name.</w:t>
      </w:r>
    </w:p>
    <w:tbl>
      <w:tblPr>
        <w:tblStyle w:val="TableGrid"/>
        <w:tblW w:type="auto" w:w="0"/>
        <w:tblLayout w:type="fixed"/>
        <w:tblLook w:firstColumn="1" w:firstRow="1" w:lastColumn="0" w:lastRow="0" w:noHBand="0" w:noVBand="1" w:val="04A0"/>
      </w:tblPr>
      <w:tblGrid>
        <w:gridCol w:w="2304"/>
        <w:gridCol w:w="2304"/>
        <w:gridCol w:w="2304"/>
        <w:gridCol w:w="2304"/>
      </w:tblGrid>
      <w:tr>
        <w:tc>
          <w:tcPr>
            <w:tcW w:type="dxa" w:w="648"/>
          </w:tcPr>
          <w:p>
            <w:pPr>
              <w:spacing w:after="40"/>
              <w:shd w:val="clear" w:fill="E8EDF4"/>
            </w:pPr>
            <w:r>
              <w:rPr>
                <w:b/>
                <w:color w:val="0F2346"/>
                <w:sz w:val="18"/>
              </w:rPr>
              <w:t>MK</w:t>
            </w:r>
          </w:p>
        </w:tc>
        <w:tc>
          <w:tcPr>
            <w:tcW w:type="dxa" w:w="3312"/>
          </w:tcPr>
          <w:p>
            <w:pPr>
              <w:spacing w:after="40"/>
              <w:shd w:val="clear" w:fill="E8EDF4"/>
            </w:pPr>
            <w:r>
              <w:rPr>
                <w:b/>
                <w:color w:val="0F2346"/>
                <w:sz w:val="18"/>
              </w:rPr>
              <w:t>SCRIPT MARKER</w:t>
            </w:r>
          </w:p>
        </w:tc>
        <w:tc>
          <w:tcPr>
            <w:tcW w:type="dxa" w:w="792"/>
          </w:tcPr>
          <w:p>
            <w:pPr>
              <w:spacing w:after="40"/>
              <w:shd w:val="clear" w:fill="E8EDF4"/>
            </w:pPr>
            <w:r>
              <w:rPr>
                <w:b/>
                <w:color w:val="0F2346"/>
                <w:sz w:val="18"/>
              </w:rPr>
              <w:t>SLIDE</w:t>
            </w:r>
          </w:p>
        </w:tc>
        <w:tc>
          <w:tcPr>
            <w:tcW w:type="dxa" w:w="4464"/>
          </w:tcPr>
          <w:p>
            <w:pPr>
              <w:spacing w:after="40"/>
              <w:shd w:val="clear" w:fill="E8EDF4"/>
            </w:pPr>
            <w:r>
              <w:rPr>
                <w:b/>
                <w:color w:val="0F2346"/>
                <w:sz w:val="18"/>
              </w:rPr>
              <w:t>LIVE SLIDE TITLE</w:t>
            </w:r>
          </w:p>
        </w:tc>
      </w:tr>
      <w:tr>
        <w:tc>
          <w:tcPr>
            <w:tcW w:type="dxa" w:w="648"/>
          </w:tcPr>
          <w:p>
            <w:pPr>
              <w:spacing w:after="40" w:line="264" w:lineRule="auto"/>
            </w:pPr>
            <w:r>
              <w:rPr>
                <w:b w:val="0"/>
                <w:sz w:val="17"/>
              </w:rPr>
              <w:t>1</w:t>
            </w:r>
          </w:p>
        </w:tc>
        <w:tc>
          <w:tcPr>
            <w:tcW w:type="dxa" w:w="3312"/>
          </w:tcPr>
          <w:p>
            <w:pPr>
              <w:spacing w:after="40" w:line="264" w:lineRule="auto"/>
            </w:pPr>
            <w:r>
              <w:rPr>
                <w:b w:val="0"/>
                <w:sz w:val="17"/>
              </w:rPr>
              <w:t>New to a Context</w:t>
            </w:r>
          </w:p>
        </w:tc>
        <w:tc>
          <w:tcPr>
            <w:tcW w:type="dxa" w:w="792"/>
          </w:tcPr>
          <w:p>
            <w:pPr>
              <w:spacing w:after="40" w:line="264" w:lineRule="auto"/>
            </w:pPr>
            <w:r>
              <w:rPr>
                <w:b w:val="0"/>
                <w:sz w:val="17"/>
              </w:rPr>
              <w:t>1</w:t>
            </w:r>
          </w:p>
        </w:tc>
        <w:tc>
          <w:tcPr>
            <w:tcW w:type="dxa" w:w="4464"/>
          </w:tcPr>
          <w:p>
            <w:pPr>
              <w:spacing w:after="40" w:line="264" w:lineRule="auto"/>
            </w:pPr>
            <w:r>
              <w:rPr>
                <w:b/>
                <w:color w:val="0F2346"/>
                <w:sz w:val="17"/>
              </w:rPr>
              <w:t>CHANGING INDUSTRIES DOES NOT MAKE YOU ENTRY-LEVEL AT EVERYTHING. / IT MAKES YOU NEW TO A CONTEXT.</w:t>
            </w:r>
          </w:p>
        </w:tc>
      </w:tr>
      <w:tr>
        <w:tc>
          <w:tcPr>
            <w:tcW w:type="dxa" w:w="648"/>
          </w:tcPr>
          <w:p>
            <w:pPr>
              <w:spacing w:after="40" w:line="264" w:lineRule="auto"/>
            </w:pPr>
            <w:r>
              <w:rPr>
                <w:b w:val="0"/>
                <w:sz w:val="17"/>
              </w:rPr>
              <w:t>2</w:t>
            </w:r>
          </w:p>
        </w:tc>
        <w:tc>
          <w:tcPr>
            <w:tcW w:type="dxa" w:w="3312"/>
          </w:tcPr>
          <w:p>
            <w:pPr>
              <w:spacing w:after="40" w:line="264" w:lineRule="auto"/>
            </w:pPr>
            <w:r>
              <w:rPr>
                <w:b w:val="0"/>
                <w:sz w:val="17"/>
              </w:rPr>
              <w:t>What Actually Changes</w:t>
            </w:r>
          </w:p>
        </w:tc>
        <w:tc>
          <w:tcPr>
            <w:tcW w:type="dxa" w:w="792"/>
          </w:tcPr>
          <w:p>
            <w:pPr>
              <w:spacing w:after="40" w:line="264" w:lineRule="auto"/>
            </w:pPr>
            <w:r>
              <w:rPr>
                <w:b w:val="0"/>
                <w:sz w:val="17"/>
              </w:rPr>
              <w:t>2</w:t>
            </w:r>
          </w:p>
        </w:tc>
        <w:tc>
          <w:tcPr>
            <w:tcW w:type="dxa" w:w="4464"/>
          </w:tcPr>
          <w:p>
            <w:pPr>
              <w:spacing w:after="40" w:line="264" w:lineRule="auto"/>
            </w:pPr>
            <w:r>
              <w:rPr>
                <w:b/>
                <w:color w:val="0F2346"/>
                <w:sz w:val="17"/>
              </w:rPr>
              <w:t>WHAT ACTUALLY CHANGES</w:t>
            </w:r>
          </w:p>
        </w:tc>
      </w:tr>
      <w:tr>
        <w:tc>
          <w:tcPr>
            <w:tcW w:type="dxa" w:w="648"/>
          </w:tcPr>
          <w:p>
            <w:pPr>
              <w:spacing w:after="40" w:line="264" w:lineRule="auto"/>
            </w:pPr>
            <w:r>
              <w:rPr>
                <w:b w:val="0"/>
                <w:sz w:val="17"/>
              </w:rPr>
              <w:t>3</w:t>
            </w:r>
          </w:p>
        </w:tc>
        <w:tc>
          <w:tcPr>
            <w:tcW w:type="dxa" w:w="3312"/>
          </w:tcPr>
          <w:p>
            <w:pPr>
              <w:spacing w:after="40" w:line="264" w:lineRule="auto"/>
            </w:pPr>
            <w:r>
              <w:rPr>
                <w:b w:val="0"/>
                <w:sz w:val="17"/>
              </w:rPr>
              <w:t>Capability Context Credential</w:t>
            </w:r>
          </w:p>
        </w:tc>
        <w:tc>
          <w:tcPr>
            <w:tcW w:type="dxa" w:w="792"/>
          </w:tcPr>
          <w:p>
            <w:pPr>
              <w:spacing w:after="40" w:line="264" w:lineRule="auto"/>
            </w:pPr>
            <w:r>
              <w:rPr>
                <w:b w:val="0"/>
                <w:sz w:val="17"/>
              </w:rPr>
              <w:t>3</w:t>
            </w:r>
          </w:p>
        </w:tc>
        <w:tc>
          <w:tcPr>
            <w:tcW w:type="dxa" w:w="4464"/>
          </w:tcPr>
          <w:p>
            <w:pPr>
              <w:spacing w:after="40" w:line="264" w:lineRule="auto"/>
            </w:pPr>
            <w:r>
              <w:rPr>
                <w:b/>
                <w:color w:val="0F2346"/>
                <w:sz w:val="17"/>
              </w:rPr>
              <w:t>MOVE ONE / CAPABILITY · CONTEXT · CREDENTIAL</w:t>
            </w:r>
          </w:p>
        </w:tc>
      </w:tr>
      <w:tr>
        <w:tc>
          <w:tcPr>
            <w:tcW w:type="dxa" w:w="648"/>
          </w:tcPr>
          <w:p>
            <w:pPr>
              <w:spacing w:after="40" w:line="264" w:lineRule="auto"/>
            </w:pPr>
            <w:r>
              <w:rPr>
                <w:b w:val="0"/>
                <w:sz w:val="17"/>
              </w:rPr>
              <w:t>4</w:t>
            </w:r>
          </w:p>
        </w:tc>
        <w:tc>
          <w:tcPr>
            <w:tcW w:type="dxa" w:w="3312"/>
          </w:tcPr>
          <w:p>
            <w:pPr>
              <w:spacing w:after="40" w:line="264" w:lineRule="auto"/>
            </w:pPr>
            <w:r>
              <w:rPr>
                <w:b w:val="0"/>
                <w:sz w:val="17"/>
              </w:rPr>
              <w:t>What Travels</w:t>
            </w:r>
          </w:p>
        </w:tc>
        <w:tc>
          <w:tcPr>
            <w:tcW w:type="dxa" w:w="792"/>
          </w:tcPr>
          <w:p>
            <w:pPr>
              <w:spacing w:after="40" w:line="264" w:lineRule="auto"/>
            </w:pPr>
            <w:r>
              <w:rPr>
                <w:b w:val="0"/>
                <w:sz w:val="17"/>
              </w:rPr>
              <w:t>4</w:t>
            </w:r>
          </w:p>
        </w:tc>
        <w:tc>
          <w:tcPr>
            <w:tcW w:type="dxa" w:w="4464"/>
          </w:tcPr>
          <w:p>
            <w:pPr>
              <w:spacing w:after="40" w:line="264" w:lineRule="auto"/>
            </w:pPr>
            <w:r>
              <w:rPr>
                <w:b/>
                <w:color w:val="0F2346"/>
                <w:sz w:val="17"/>
              </w:rPr>
              <w:t>CAPABILITY / WHAT TRAVELS</w:t>
            </w:r>
          </w:p>
        </w:tc>
      </w:tr>
      <w:tr>
        <w:tc>
          <w:tcPr>
            <w:tcW w:type="dxa" w:w="648"/>
          </w:tcPr>
          <w:p>
            <w:pPr>
              <w:spacing w:after="40" w:line="264" w:lineRule="auto"/>
            </w:pPr>
            <w:r>
              <w:rPr>
                <w:b w:val="0"/>
                <w:sz w:val="17"/>
              </w:rPr>
              <w:t>5</w:t>
            </w:r>
          </w:p>
        </w:tc>
        <w:tc>
          <w:tcPr>
            <w:tcW w:type="dxa" w:w="3312"/>
          </w:tcPr>
          <w:p>
            <w:pPr>
              <w:spacing w:after="40" w:line="264" w:lineRule="auto"/>
            </w:pPr>
            <w:r>
              <w:rPr>
                <w:b w:val="0"/>
                <w:sz w:val="17"/>
              </w:rPr>
              <w:t>What Must Be Relearned</w:t>
            </w:r>
          </w:p>
        </w:tc>
        <w:tc>
          <w:tcPr>
            <w:tcW w:type="dxa" w:w="792"/>
          </w:tcPr>
          <w:p>
            <w:pPr>
              <w:spacing w:after="40" w:line="264" w:lineRule="auto"/>
            </w:pPr>
            <w:r>
              <w:rPr>
                <w:b w:val="0"/>
                <w:sz w:val="17"/>
              </w:rPr>
              <w:t>5</w:t>
            </w:r>
          </w:p>
        </w:tc>
        <w:tc>
          <w:tcPr>
            <w:tcW w:type="dxa" w:w="4464"/>
          </w:tcPr>
          <w:p>
            <w:pPr>
              <w:spacing w:after="40" w:line="264" w:lineRule="auto"/>
            </w:pPr>
            <w:r>
              <w:rPr>
                <w:b/>
                <w:color w:val="0F2346"/>
                <w:sz w:val="17"/>
              </w:rPr>
              <w:t>CONTEXT / WHAT MUST BE RELEARNED</w:t>
            </w:r>
          </w:p>
        </w:tc>
      </w:tr>
      <w:tr>
        <w:tc>
          <w:tcPr>
            <w:tcW w:type="dxa" w:w="648"/>
          </w:tcPr>
          <w:p>
            <w:pPr>
              <w:spacing w:after="40" w:line="264" w:lineRule="auto"/>
            </w:pPr>
            <w:r>
              <w:rPr>
                <w:b w:val="0"/>
                <w:sz w:val="17"/>
              </w:rPr>
              <w:t>6</w:t>
            </w:r>
          </w:p>
        </w:tc>
        <w:tc>
          <w:tcPr>
            <w:tcW w:type="dxa" w:w="3312"/>
          </w:tcPr>
          <w:p>
            <w:pPr>
              <w:spacing w:after="40" w:line="264" w:lineRule="auto"/>
            </w:pPr>
            <w:r>
              <w:rPr>
                <w:b w:val="0"/>
                <w:sz w:val="17"/>
              </w:rPr>
              <w:t>What Must Be Earned</w:t>
            </w:r>
          </w:p>
        </w:tc>
        <w:tc>
          <w:tcPr>
            <w:tcW w:type="dxa" w:w="792"/>
          </w:tcPr>
          <w:p>
            <w:pPr>
              <w:spacing w:after="40" w:line="264" w:lineRule="auto"/>
            </w:pPr>
            <w:r>
              <w:rPr>
                <w:b w:val="0"/>
                <w:sz w:val="17"/>
              </w:rPr>
              <w:t>6</w:t>
            </w:r>
          </w:p>
        </w:tc>
        <w:tc>
          <w:tcPr>
            <w:tcW w:type="dxa" w:w="4464"/>
          </w:tcPr>
          <w:p>
            <w:pPr>
              <w:spacing w:after="40" w:line="264" w:lineRule="auto"/>
            </w:pPr>
            <w:r>
              <w:rPr>
                <w:b/>
                <w:color w:val="0F2346"/>
                <w:sz w:val="17"/>
              </w:rPr>
              <w:t>CREDENTIAL / WHAT MUST BE EARNED</w:t>
            </w:r>
          </w:p>
        </w:tc>
      </w:tr>
      <w:tr>
        <w:tc>
          <w:tcPr>
            <w:tcW w:type="dxa" w:w="648"/>
          </w:tcPr>
          <w:p>
            <w:pPr>
              <w:spacing w:after="40" w:line="264" w:lineRule="auto"/>
            </w:pPr>
            <w:r>
              <w:rPr>
                <w:b w:val="0"/>
                <w:sz w:val="17"/>
              </w:rPr>
              <w:t>7</w:t>
            </w:r>
          </w:p>
        </w:tc>
        <w:tc>
          <w:tcPr>
            <w:tcW w:type="dxa" w:w="3312"/>
          </w:tcPr>
          <w:p>
            <w:pPr>
              <w:spacing w:after="40" w:line="264" w:lineRule="auto"/>
            </w:pPr>
            <w:r>
              <w:rPr>
                <w:b w:val="0"/>
                <w:sz w:val="17"/>
              </w:rPr>
              <w:t>Start From the Destination</w:t>
            </w:r>
          </w:p>
        </w:tc>
        <w:tc>
          <w:tcPr>
            <w:tcW w:type="dxa" w:w="792"/>
          </w:tcPr>
          <w:p>
            <w:pPr>
              <w:spacing w:after="40" w:line="264" w:lineRule="auto"/>
            </w:pPr>
            <w:r>
              <w:rPr>
                <w:b w:val="0"/>
                <w:sz w:val="17"/>
              </w:rPr>
              <w:t>7</w:t>
            </w:r>
          </w:p>
        </w:tc>
        <w:tc>
          <w:tcPr>
            <w:tcW w:type="dxa" w:w="4464"/>
          </w:tcPr>
          <w:p>
            <w:pPr>
              <w:spacing w:after="40" w:line="264" w:lineRule="auto"/>
            </w:pPr>
            <w:r>
              <w:rPr>
                <w:b/>
                <w:color w:val="0F2346"/>
                <w:sz w:val="17"/>
              </w:rPr>
              <w:t>MOVE TWO / START FROM THE DESTINATION, NOT FROM YOUR CV.</w:t>
            </w:r>
          </w:p>
        </w:tc>
      </w:tr>
      <w:tr>
        <w:tc>
          <w:tcPr>
            <w:tcW w:type="dxa" w:w="648"/>
          </w:tcPr>
          <w:p>
            <w:pPr>
              <w:spacing w:after="40" w:line="264" w:lineRule="auto"/>
            </w:pPr>
            <w:r>
              <w:rPr>
                <w:b w:val="0"/>
                <w:sz w:val="17"/>
              </w:rPr>
              <w:t>8</w:t>
            </w:r>
          </w:p>
        </w:tc>
        <w:tc>
          <w:tcPr>
            <w:tcW w:type="dxa" w:w="3312"/>
          </w:tcPr>
          <w:p>
            <w:pPr>
              <w:spacing w:after="40" w:line="264" w:lineRule="auto"/>
            </w:pPr>
            <w:r>
              <w:rPr>
                <w:b w:val="0"/>
                <w:sz w:val="17"/>
              </w:rPr>
              <w:t>Translate Do Not Recite</w:t>
            </w:r>
          </w:p>
        </w:tc>
        <w:tc>
          <w:tcPr>
            <w:tcW w:type="dxa" w:w="792"/>
          </w:tcPr>
          <w:p>
            <w:pPr>
              <w:spacing w:after="40" w:line="264" w:lineRule="auto"/>
            </w:pPr>
            <w:r>
              <w:rPr>
                <w:b w:val="0"/>
                <w:sz w:val="17"/>
              </w:rPr>
              <w:t>8</w:t>
            </w:r>
          </w:p>
        </w:tc>
        <w:tc>
          <w:tcPr>
            <w:tcW w:type="dxa" w:w="4464"/>
          </w:tcPr>
          <w:p>
            <w:pPr>
              <w:spacing w:after="40" w:line="264" w:lineRule="auto"/>
            </w:pPr>
            <w:r>
              <w:rPr>
                <w:b/>
                <w:color w:val="0F2346"/>
                <w:sz w:val="17"/>
              </w:rPr>
              <w:t>TRANSLATE, DO NOT RECITE</w:t>
            </w:r>
          </w:p>
        </w:tc>
      </w:tr>
      <w:tr>
        <w:tc>
          <w:tcPr>
            <w:tcW w:type="dxa" w:w="648"/>
          </w:tcPr>
          <w:p>
            <w:pPr>
              <w:spacing w:after="40" w:line="264" w:lineRule="auto"/>
            </w:pPr>
            <w:r>
              <w:rPr>
                <w:b w:val="0"/>
                <w:sz w:val="17"/>
              </w:rPr>
              <w:t>9</w:t>
            </w:r>
          </w:p>
        </w:tc>
        <w:tc>
          <w:tcPr>
            <w:tcW w:type="dxa" w:w="3312"/>
          </w:tcPr>
          <w:p>
            <w:pPr>
              <w:spacing w:after="40" w:line="264" w:lineRule="auto"/>
            </w:pPr>
            <w:r>
              <w:rPr>
                <w:b w:val="0"/>
                <w:sz w:val="17"/>
              </w:rPr>
              <w:t>Bridge Evidence</w:t>
            </w:r>
          </w:p>
        </w:tc>
        <w:tc>
          <w:tcPr>
            <w:tcW w:type="dxa" w:w="792"/>
          </w:tcPr>
          <w:p>
            <w:pPr>
              <w:spacing w:after="40" w:line="264" w:lineRule="auto"/>
            </w:pPr>
            <w:r>
              <w:rPr>
                <w:b w:val="0"/>
                <w:sz w:val="17"/>
              </w:rPr>
              <w:t>9</w:t>
            </w:r>
          </w:p>
        </w:tc>
        <w:tc>
          <w:tcPr>
            <w:tcW w:type="dxa" w:w="4464"/>
          </w:tcPr>
          <w:p>
            <w:pPr>
              <w:spacing w:after="40" w:line="264" w:lineRule="auto"/>
            </w:pPr>
            <w:r>
              <w:rPr>
                <w:b/>
                <w:color w:val="0F2346"/>
                <w:sz w:val="17"/>
              </w:rPr>
              <w:t>MOVE THREE / BRIDGE EVIDENCE</w:t>
            </w:r>
          </w:p>
        </w:tc>
      </w:tr>
      <w:tr>
        <w:tc>
          <w:tcPr>
            <w:tcW w:type="dxa" w:w="648"/>
          </w:tcPr>
          <w:p>
            <w:pPr>
              <w:spacing w:after="40" w:line="264" w:lineRule="auto"/>
            </w:pPr>
            <w:r>
              <w:rPr>
                <w:b w:val="0"/>
                <w:sz w:val="17"/>
              </w:rPr>
              <w:t>10</w:t>
            </w:r>
          </w:p>
        </w:tc>
        <w:tc>
          <w:tcPr>
            <w:tcW w:type="dxa" w:w="3312"/>
          </w:tcPr>
          <w:p>
            <w:pPr>
              <w:spacing w:after="40" w:line="264" w:lineRule="auto"/>
            </w:pPr>
            <w:r>
              <w:rPr>
                <w:b w:val="0"/>
                <w:sz w:val="17"/>
              </w:rPr>
              <w:t>One Page Three Columns</w:t>
            </w:r>
          </w:p>
        </w:tc>
        <w:tc>
          <w:tcPr>
            <w:tcW w:type="dxa" w:w="792"/>
          </w:tcPr>
          <w:p>
            <w:pPr>
              <w:spacing w:after="40" w:line="264" w:lineRule="auto"/>
            </w:pPr>
            <w:r>
              <w:rPr>
                <w:b w:val="0"/>
                <w:sz w:val="17"/>
              </w:rPr>
              <w:t>10</w:t>
            </w:r>
          </w:p>
        </w:tc>
        <w:tc>
          <w:tcPr>
            <w:tcW w:type="dxa" w:w="4464"/>
          </w:tcPr>
          <w:p>
            <w:pPr>
              <w:spacing w:after="40" w:line="264" w:lineRule="auto"/>
            </w:pPr>
            <w:r>
              <w:rPr>
                <w:b/>
                <w:color w:val="0F2346"/>
                <w:sz w:val="17"/>
              </w:rPr>
              <w:t>ONE PAGE, THREE COLUMNS</w:t>
            </w:r>
          </w:p>
        </w:tc>
      </w:tr>
      <w:tr>
        <w:tc>
          <w:tcPr>
            <w:tcW w:type="dxa" w:w="648"/>
          </w:tcPr>
          <w:p>
            <w:pPr>
              <w:spacing w:after="40" w:line="264" w:lineRule="auto"/>
            </w:pPr>
            <w:r>
              <w:rPr>
                <w:b w:val="0"/>
                <w:sz w:val="17"/>
              </w:rPr>
              <w:t>11</w:t>
            </w:r>
          </w:p>
        </w:tc>
        <w:tc>
          <w:tcPr>
            <w:tcW w:type="dxa" w:w="3312"/>
          </w:tcPr>
          <w:p>
            <w:pPr>
              <w:spacing w:after="40" w:line="264" w:lineRule="auto"/>
            </w:pPr>
            <w:r>
              <w:rPr>
                <w:b w:val="0"/>
                <w:sz w:val="17"/>
              </w:rPr>
              <w:t>Field Kit</w:t>
            </w:r>
          </w:p>
        </w:tc>
        <w:tc>
          <w:tcPr>
            <w:tcW w:type="dxa" w:w="792"/>
          </w:tcPr>
          <w:p>
            <w:pPr>
              <w:spacing w:after="40" w:line="264" w:lineRule="auto"/>
            </w:pPr>
            <w:r>
              <w:rPr>
                <w:b w:val="0"/>
                <w:sz w:val="17"/>
              </w:rPr>
              <w:t>11</w:t>
            </w:r>
          </w:p>
        </w:tc>
        <w:tc>
          <w:tcPr>
            <w:tcW w:type="dxa" w:w="4464"/>
          </w:tcPr>
          <w:p>
            <w:pPr>
              <w:spacing w:after="40" w:line="264" w:lineRule="auto"/>
            </w:pPr>
            <w:r>
              <w:rPr>
                <w:b/>
                <w:color w:val="0F2346"/>
                <w:sz w:val="17"/>
              </w:rPr>
              <w:t>CAPABILITY FORMATION / FIELD KIT</w:t>
            </w:r>
          </w:p>
        </w:tc>
      </w:tr>
      <w:tr>
        <w:tc>
          <w:tcPr>
            <w:tcW w:type="dxa" w:w="648"/>
          </w:tcPr>
          <w:p>
            <w:pPr>
              <w:spacing w:after="40" w:line="264" w:lineRule="auto"/>
            </w:pPr>
            <w:r>
              <w:rPr>
                <w:b w:val="0"/>
                <w:sz w:val="17"/>
              </w:rPr>
              <w:t>12</w:t>
            </w:r>
          </w:p>
        </w:tc>
        <w:tc>
          <w:tcPr>
            <w:tcW w:type="dxa" w:w="3312"/>
          </w:tcPr>
          <w:p>
            <w:pPr>
              <w:spacing w:after="40" w:line="264" w:lineRule="auto"/>
            </w:pPr>
            <w:r>
              <w:rPr>
                <w:b w:val="0"/>
                <w:sz w:val="17"/>
              </w:rPr>
              <w:t>Watch Next</w:t>
            </w:r>
          </w:p>
        </w:tc>
        <w:tc>
          <w:tcPr>
            <w:tcW w:type="dxa" w:w="792"/>
          </w:tcPr>
          <w:p>
            <w:pPr>
              <w:spacing w:after="40" w:line="264" w:lineRule="auto"/>
            </w:pPr>
            <w:r>
              <w:rPr>
                <w:b w:val="0"/>
                <w:sz w:val="17"/>
              </w:rPr>
              <w:t>12</w:t>
            </w:r>
          </w:p>
        </w:tc>
        <w:tc>
          <w:tcPr>
            <w:tcW w:type="dxa" w:w="4464"/>
          </w:tcPr>
          <w:p>
            <w:pPr>
              <w:spacing w:after="40" w:line="264" w:lineRule="auto"/>
            </w:pPr>
            <w:r>
              <w:rPr>
                <w:b/>
                <w:color w:val="0F2346"/>
                <w:sz w:val="17"/>
              </w:rPr>
              <w:t>CONTINUE THE SERIES / CAREER PORTABILITY / CAREER PIVOTS · INTERNAL MOVES · GROWTH</w:t>
            </w:r>
          </w:p>
        </w:tc>
      </w:tr>
    </w:tbl>
    <w:p>
      <w:pPr>
        <w:spacing w:before="0" w:after="22" w:line="274" w:lineRule="auto"/>
      </w:pPr>
      <w:r>
        <w:rPr>
          <w:b w:val="0"/>
          <w:i w:val="0"/>
          <w:sz w:val="12"/>
        </w:rPr>
      </w:r>
    </w:p>
    <w:p>
      <w:pPr>
        <w:spacing w:before="44" w:after="90" w:line="274" w:lineRule="auto"/>
        <w:keepLines w:val="1"/>
      </w:pPr>
      <w:r>
        <w:rPr>
          <w:b w:val="0"/>
          <w:i/>
          <w:color w:val="5A6B82"/>
          <w:sz w:val="21"/>
        </w:rPr>
        <w:t>Validated in the live files: 12 markers, 12 slides, one-to-one and in order, no duplicate mapping, no missing slide, no reordered slide.</w:t>
      </w:r>
    </w:p>
    <w:p>
      <w:pPr>
        <w:spacing w:before="156" w:after="90" w:line="274" w:lineRule="auto"/>
        <w:keepLines w:val="1"/>
        <w:keepNext w:val="1"/>
      </w:pPr>
      <w:r>
        <w:rPr>
          <w:b/>
          <w:i w:val="0"/>
          <w:color w:val="0F2346"/>
          <w:sz w:val="28"/>
        </w:rPr>
        <w:t>Authorised slide correction — applied</w:t>
      </w:r>
    </w:p>
    <w:p>
      <w:pPr>
        <w:spacing w:before="0" w:after="90" w:line="274" w:lineRule="auto"/>
        <w:shd w:val="clear" w:fill="F3F0E8"/>
        <w:keepLines w:val="1"/>
      </w:pPr>
      <w:r>
        <w:rPr>
          <w:b/>
          <w:i w:val="0"/>
          <w:color w:val="9B2C10"/>
          <w:sz w:val="22"/>
        </w:rPr>
        <w:t>AUTHORISED AND APPLIED. Slide 5 carried stale conceptual framing. Text only changed; visual system, typography family, colours, composition and hierarchy are unchanged.</w:t>
      </w:r>
    </w:p>
    <w:p>
      <w:pPr>
        <w:spacing w:before="68" w:after="34" w:line="274" w:lineRule="auto"/>
        <w:keepLines w:val="1"/>
      </w:pPr>
      <w:r>
        <w:rPr>
          <w:b/>
          <w:i w:val="0"/>
          <w:color w:val="0F2346"/>
          <w:sz w:val="22"/>
        </w:rPr>
        <w:t>Slide 5 (gold emphasis line)</w:t>
      </w:r>
    </w:p>
    <w:p>
      <w:pPr>
        <w:spacing w:before="0" w:after="34" w:line="274" w:lineRule="auto"/>
        <w:keepLines w:val="1"/>
      </w:pPr>
      <w:r>
        <w:rPr>
          <w:b w:val="0"/>
          <w:i w:val="0"/>
          <w:sz w:val="21"/>
        </w:rPr>
        <w:t>FROM:  It feels like a competence gap. It is an information gap.</w:t>
      </w:r>
    </w:p>
    <w:p>
      <w:pPr>
        <w:spacing w:before="0" w:after="56" w:line="274" w:lineRule="auto"/>
        <w:keepLines w:val="1"/>
      </w:pPr>
      <w:r>
        <w:rPr>
          <w:b/>
          <w:i w:val="0"/>
          <w:sz w:val="21"/>
        </w:rPr>
        <w:t>TO:    IT CAN FEEL LIKE A COMPETENCE GAP. / SOME CONTEXT CAN BE RESEARCHED. / SOME MUST BE LEARNED THROUGH EXPOSURE.</w:t>
      </w:r>
    </w:p>
    <w:p>
      <w:pPr>
        <w:spacing w:before="0" w:after="90" w:line="274" w:lineRule="auto"/>
        <w:keepLines w:val="1"/>
      </w:pPr>
      <w:r>
        <w:rPr>
          <w:b w:val="0"/>
          <w:i w:val="0"/>
          <w:color w:val="5A6B82"/>
          <w:sz w:val="21"/>
        </w:rPr>
        <w:t>Set as three lines inside the existing text box at the existing 20pt Montserrat Bold in the existing gold. Measured against the real embedded font first: the widest line is 7.06in inside an 11.11in box, so nothing wraps, and the block ends at 6.71in of a 7.5in slide. The replaced line was 7.98in on one line, so the block is narrower than what it replaces.</w:t>
      </w:r>
    </w:p>
    <w:p>
      <w:pPr>
        <w:spacing w:before="0" w:after="90" w:line="274" w:lineRule="auto"/>
        <w:keepLines w:val="1"/>
      </w:pPr>
      <w:r>
        <w:rPr>
          <w:b/>
          <w:i w:val="0"/>
          <w:sz w:val="22"/>
        </w:rPr>
        <w:t>Reveal frames corrected: 11 only. Frame 10 is the title-only build of the same slide and never carried the line. Main slides 1 to 4 and 6 to 12 and the other twenty-three reveal frames are byte-identical.</w:t>
      </w:r>
    </w:p>
    <w:p>
      <w:pPr>
        <w:spacing w:before="0" w:after="112" w:line="274" w:lineRule="auto"/>
        <w:shd w:val="clear" w:fill="F3F0E8"/>
        <w:keepLines w:val="1"/>
      </w:pPr>
      <w:r>
        <w:rPr>
          <w:b/>
          <w:i w:val="0"/>
          <w:color w:val="9B2C10"/>
          <w:sz w:val="22"/>
        </w:rPr>
        <w:t>SLIDE 12 WAS NOT TOUCHED. The live slide 12 is CONTINUE THE SERIES / CAREER PORTABILITY. It carries no video title at all, so it neither matches the locked Watch Next nor holds a stale prior title to correct. Adding a title would be a design change, not a title-text-only correction, so it is left alone pending Temidayo's decision.</w:t>
      </w:r>
    </w:p>
    <w:p>
      <w:pPr>
        <w:spacing w:before="156" w:after="90" w:line="274" w:lineRule="auto"/>
        <w:keepLines w:val="1"/>
        <w:keepNext w:val="1"/>
      </w:pPr>
      <w:r>
        <w:rPr>
          <w:b/>
          <w:i w:val="0"/>
          <w:color w:val="0F2346"/>
          <w:sz w:val="28"/>
        </w:rPr>
        <w:t>First 30 seconds — H.I.T.</w:t>
      </w:r>
    </w:p>
    <w:p>
      <w:pPr>
        <w:spacing w:before="0" w:after="156" w:line="274" w:lineRule="auto"/>
      </w:pPr>
      <w:r>
        <w:rPr>
          <w:b w:val="0"/>
          <w:i w:val="0"/>
          <w:sz w:val="22"/>
        </w:rPr>
        <w:t>H = Hook. I = Interest. T = Trust. The opening must match the title and thumbnail promise, create immediate recognition, use visual movement, establish concrete trust quickly, make clear that Temidayo is not promising that all experience transfers, and deliver the viewer payoff by roughly 20 to 30 seconds.</w:t>
      </w:r>
    </w:p>
    <w:p>
      <w:pPr>
        <w:spacing w:before="112" w:after="56" w:line="274" w:lineRule="auto"/>
        <w:keepLines w:val="1"/>
        <w:keepNext w:val="1"/>
      </w:pPr>
      <w:r>
        <w:rPr>
          <w:b/>
          <w:i w:val="0"/>
          <w:color w:val="0F2346"/>
          <w:sz w:val="23"/>
        </w:rPr>
        <w:t>0:00–0:05  ·  HOOK</w:t>
      </w:r>
    </w:p>
    <w:p>
      <w:pPr>
        <w:spacing w:before="0" w:after="90" w:line="274" w:lineRule="auto"/>
        <w:shd w:val="clear" w:fill="F3F0E8"/>
      </w:pPr>
      <w:r>
        <w:rPr>
          <w:b w:val="0"/>
          <w:i/>
          <w:color w:val="5A6B82"/>
          <w:sz w:val="21"/>
        </w:rPr>
        <w:t>Spoken:  “Changing industries does not make you entry-level at everything. It makes you new to a context.”</w:t>
      </w:r>
    </w:p>
    <w:p>
      <w:pPr>
        <w:spacing w:before="0" w:after="56" w:line="274" w:lineRule="auto"/>
        <w:keepLines w:val="1"/>
      </w:pPr>
      <w:r>
        <w:rPr>
          <w:b w:val="0"/>
          <w:i w:val="0"/>
          <w:sz w:val="22"/>
        </w:rPr>
        <w:t>On-screen:  NEW INDUSTRY ≠ STARTING OVER</w:t>
      </w:r>
    </w:p>
    <w:p>
      <w:pPr>
        <w:spacing w:before="112" w:after="56" w:line="274" w:lineRule="auto"/>
        <w:keepLines w:val="1"/>
        <w:keepNext w:val="1"/>
      </w:pPr>
      <w:r>
        <w:rPr>
          <w:b/>
          <w:i w:val="0"/>
          <w:color w:val="0F2346"/>
          <w:sz w:val="23"/>
        </w:rPr>
        <w:t>0:05–0:16  ·  TRUST + INTEREST</w:t>
      </w:r>
    </w:p>
    <w:p>
      <w:pPr>
        <w:spacing w:before="0" w:after="90" w:line="274" w:lineRule="auto"/>
        <w:shd w:val="clear" w:fill="F3F0E8"/>
      </w:pPr>
      <w:r>
        <w:rPr>
          <w:b w:val="0"/>
          <w:i/>
          <w:color w:val="5A6B82"/>
          <w:sz w:val="21"/>
        </w:rPr>
        <w:t>Spoken:  “Across nearly two decades, I’ve worked across eight industries and sectors…”</w:t>
      </w:r>
    </w:p>
    <w:p>
      <w:pPr>
        <w:spacing w:before="0" w:after="56" w:line="274" w:lineRule="auto"/>
        <w:keepLines w:val="1"/>
      </w:pPr>
      <w:r>
        <w:rPr>
          <w:b w:val="0"/>
          <w:i w:val="0"/>
          <w:sz w:val="22"/>
        </w:rPr>
        <w:t>On-screen:  8 INDUSTRIES + SECTORS</w:t>
      </w:r>
    </w:p>
    <w:p>
      <w:pPr>
        <w:spacing w:before="0" w:after="56" w:line="274" w:lineRule="auto"/>
        <w:keepLines w:val="1"/>
      </w:pPr>
      <w:r>
        <w:rPr>
          <w:b w:val="0"/>
          <w:i w:val="0"/>
          <w:sz w:val="22"/>
        </w:rPr>
        <w:t>Then:  WHAT TRAVELS?  WHAT CHANGES?</w:t>
      </w:r>
    </w:p>
    <w:p>
      <w:pPr>
        <w:spacing w:before="0" w:after="56" w:line="274" w:lineRule="auto"/>
        <w:keepLines w:val="1"/>
      </w:pPr>
      <w:r>
        <w:rPr>
          <w:b w:val="0"/>
          <w:i w:val="0"/>
          <w:sz w:val="22"/>
        </w:rPr>
        <w:t>No employer-logo montage.</w:t>
      </w:r>
    </w:p>
    <w:p>
      <w:pPr>
        <w:spacing w:before="112" w:after="56" w:line="274" w:lineRule="auto"/>
        <w:keepLines w:val="1"/>
        <w:keepNext w:val="1"/>
      </w:pPr>
      <w:r>
        <w:rPr>
          <w:b/>
          <w:i w:val="0"/>
          <w:color w:val="0F2346"/>
          <w:sz w:val="23"/>
        </w:rPr>
        <w:t>0:16–0:24  ·  TRUST BOUNDARY</w:t>
      </w:r>
    </w:p>
    <w:p>
      <w:pPr>
        <w:spacing w:before="0" w:after="90" w:line="274" w:lineRule="auto"/>
        <w:shd w:val="clear" w:fill="F3F0E8"/>
      </w:pPr>
      <w:r>
        <w:rPr>
          <w:b w:val="0"/>
          <w:i/>
          <w:color w:val="5A6B82"/>
          <w:sz w:val="21"/>
        </w:rPr>
        <w:t>Spoken:  “When I moved toward cybersecurity and privacy, I prepared for the CISM exam and didn’t pass the first time.”</w:t>
      </w:r>
    </w:p>
    <w:p>
      <w:pPr>
        <w:spacing w:before="0" w:after="56" w:line="274" w:lineRule="auto"/>
        <w:keepLines w:val="1"/>
      </w:pPr>
      <w:r>
        <w:rPr>
          <w:b w:val="0"/>
          <w:i w:val="0"/>
          <w:sz w:val="22"/>
        </w:rPr>
        <w:t>On-screen:  NOT EVERYTHING TRAVELS</w:t>
      </w:r>
    </w:p>
    <w:p>
      <w:pPr>
        <w:spacing w:before="0" w:after="56" w:line="274" w:lineRule="auto"/>
        <w:keepLines w:val="1"/>
      </w:pPr>
      <w:r>
        <w:rPr>
          <w:b w:val="0"/>
          <w:i w:val="0"/>
          <w:sz w:val="22"/>
        </w:rPr>
        <w:t>Visual tone: calm, factual, non-dramatic.</w:t>
      </w:r>
    </w:p>
    <w:p>
      <w:pPr>
        <w:spacing w:before="68" w:after="112" w:line="274" w:lineRule="auto"/>
        <w:shd w:val="clear" w:fill="F3F0E8"/>
        <w:keepLines w:val="1"/>
      </w:pPr>
      <w:r>
        <w:rPr>
          <w:b/>
          <w:i w:val="0"/>
          <w:color w:val="9B2C10"/>
          <w:sz w:val="22"/>
        </w:rPr>
        <w:t>Do not show a fake exam result, a score, a failed stamp or any sensational failure imagery. Do not dramatize the non-pass.</w:t>
      </w:r>
    </w:p>
    <w:p>
      <w:pPr>
        <w:spacing w:before="112" w:after="56" w:line="274" w:lineRule="auto"/>
        <w:keepLines w:val="1"/>
        <w:keepNext w:val="1"/>
      </w:pPr>
      <w:r>
        <w:rPr>
          <w:b/>
          <w:i w:val="0"/>
          <w:color w:val="0F2346"/>
          <w:sz w:val="23"/>
        </w:rPr>
        <w:t>0:24–0:30  ·  PAYOFF</w:t>
      </w:r>
    </w:p>
    <w:p>
      <w:pPr>
        <w:spacing w:before="0" w:after="90" w:line="274" w:lineRule="auto"/>
        <w:shd w:val="clear" w:fill="F3F0E8"/>
      </w:pPr>
      <w:r>
        <w:rPr>
          <w:b w:val="0"/>
          <w:i/>
          <w:color w:val="5A6B82"/>
          <w:sz w:val="21"/>
        </w:rPr>
        <w:t>Spoken:  “So I’m going to help you separate three things: what you can carry, what the new context changes, and what you actually have to earn.”</w:t>
      </w:r>
    </w:p>
    <w:p>
      <w:pPr>
        <w:spacing w:before="0" w:after="56" w:line="274" w:lineRule="auto"/>
        <w:keepLines w:val="1"/>
      </w:pPr>
      <w:r>
        <w:rPr>
          <w:b w:val="0"/>
          <w:i w:val="0"/>
          <w:sz w:val="22"/>
        </w:rPr>
        <w:t>Progressive reveal:</w:t>
      </w:r>
    </w:p>
    <w:p>
      <w:pPr>
        <w:spacing w:before="0" w:after="56" w:line="274" w:lineRule="auto"/>
        <w:keepLines w:val="1"/>
      </w:pPr>
      <w:r>
        <w:rPr>
          <w:b w:val="0"/>
          <w:i w:val="0"/>
          <w:sz w:val="22"/>
        </w:rPr>
        <w:t xml:space="preserve">     WHAT TRAVELS</w:t>
      </w:r>
    </w:p>
    <w:p>
      <w:pPr>
        <w:spacing w:before="0" w:after="56" w:line="274" w:lineRule="auto"/>
        <w:keepLines w:val="1"/>
      </w:pPr>
      <w:r>
        <w:rPr>
          <w:b w:val="0"/>
          <w:i w:val="0"/>
          <w:sz w:val="22"/>
        </w:rPr>
        <w:t xml:space="preserve">     WHAT CHANGES</w:t>
      </w:r>
    </w:p>
    <w:p>
      <w:pPr>
        <w:spacing w:before="0" w:after="56" w:line="274" w:lineRule="auto"/>
        <w:keepLines w:val="1"/>
      </w:pPr>
      <w:r>
        <w:rPr>
          <w:b w:val="0"/>
          <w:i w:val="0"/>
          <w:sz w:val="22"/>
        </w:rPr>
        <w:t xml:space="preserve">     WHAT I MUST EARN</w:t>
      </w:r>
    </w:p>
    <w:p>
      <w:pPr>
        <w:spacing w:before="156" w:after="90" w:line="274" w:lineRule="auto"/>
        <w:keepLines w:val="1"/>
        <w:keepNext w:val="1"/>
      </w:pPr>
      <w:r>
        <w:rPr>
          <w:b/>
          <w:i w:val="0"/>
          <w:color w:val="0F2346"/>
          <w:sz w:val="28"/>
        </w:rPr>
        <w:t>Editing principle</w:t>
      </w:r>
    </w:p>
    <w:p>
      <w:pPr>
        <w:spacing w:before="0" w:after="90" w:line="274" w:lineRule="auto"/>
        <w:keepLines w:val="1"/>
      </w:pPr>
      <w:r>
        <w:rPr>
          <w:b w:val="0"/>
          <w:i w:val="0"/>
          <w:sz w:val="22"/>
        </w:rPr>
        <w:t>Let visual structure carry the three-part distinction. Temidayo's voice carries meaning.</w:t>
      </w:r>
    </w:p>
    <w:p>
      <w:pPr>
        <w:spacing w:before="0" w:after="56" w:line="274" w:lineRule="auto"/>
      </w:pPr>
      <w:r>
        <w:rPr>
          <w:b w:val="0"/>
          <w:i w:val="0"/>
          <w:sz w:val="22"/>
        </w:rPr>
        <w:t>Avoid:</w:t>
      </w:r>
    </w:p>
    <w:p>
      <w:pPr>
        <w:spacing w:before="0" w:after="44" w:line="274" w:lineRule="auto"/>
        <w:keepLines w:val="1"/>
      </w:pPr>
      <w:r>
        <w:rPr>
          <w:b w:val="0"/>
          <w:i w:val="0"/>
          <w:sz w:val="22"/>
        </w:rPr>
        <w:t>—  airport/travel metaphors;        —  suitcase imagery;</w:t>
      </w:r>
    </w:p>
    <w:p>
      <w:pPr>
        <w:spacing w:before="0" w:after="44" w:line="274" w:lineRule="auto"/>
        <w:keepLines w:val="1"/>
      </w:pPr>
      <w:r>
        <w:rPr>
          <w:b w:val="0"/>
          <w:i w:val="0"/>
          <w:sz w:val="22"/>
        </w:rPr>
        <w:t>—  passport imagery;        —  generic career ladder;</w:t>
      </w:r>
    </w:p>
    <w:p>
      <w:pPr>
        <w:spacing w:before="0" w:after="44" w:line="274" w:lineRule="auto"/>
        <w:keepLines w:val="1"/>
      </w:pPr>
      <w:r>
        <w:rPr>
          <w:b w:val="0"/>
          <w:i w:val="0"/>
          <w:sz w:val="22"/>
        </w:rPr>
        <w:t>—  “new industry = total restart” stock visuals;</w:t>
      </w:r>
    </w:p>
    <w:p>
      <w:pPr>
        <w:spacing w:before="0" w:after="44" w:line="274" w:lineRule="auto"/>
        <w:keepLines w:val="1"/>
      </w:pPr>
      <w:r>
        <w:rPr>
          <w:b w:val="0"/>
          <w:i w:val="0"/>
          <w:sz w:val="22"/>
        </w:rPr>
        <w:t>—  hyperactive transitions.</w:t>
      </w:r>
    </w:p>
    <w:p>
      <w:pPr>
        <w:spacing w:before="156" w:after="90" w:line="274" w:lineRule="auto"/>
        <w:keepLines w:val="1"/>
        <w:keepNext w:val="1"/>
      </w:pPr>
      <w:r>
        <w:rPr>
          <w:b/>
          <w:i w:val="0"/>
          <w:color w:val="0F2346"/>
          <w:sz w:val="28"/>
        </w:rPr>
        <w:t>Factual boundary</w:t>
      </w:r>
    </w:p>
    <w:p>
      <w:pPr>
        <w:spacing w:before="0" w:after="68" w:line="274" w:lineRule="auto"/>
        <w:keepLines w:val="1"/>
      </w:pPr>
      <w:r>
        <w:rPr>
          <w:b w:val="0"/>
          <w:i w:val="0"/>
          <w:sz w:val="22"/>
        </w:rPr>
        <w:t>Approved personal evidence:</w:t>
      </w:r>
    </w:p>
    <w:p>
      <w:pPr>
        <w:spacing w:before="0" w:after="56" w:line="274" w:lineRule="auto"/>
        <w:keepLines w:val="1"/>
      </w:pPr>
      <w:r>
        <w:rPr>
          <w:b w:val="0"/>
          <w:i w:val="0"/>
          <w:sz w:val="22"/>
        </w:rPr>
        <w:t>—  eight industries and sectors across roughly eighteen years;</w:t>
      </w:r>
    </w:p>
    <w:p>
      <w:pPr>
        <w:spacing w:before="0" w:after="56" w:line="274" w:lineRule="auto"/>
        <w:keepLines w:val="1"/>
      </w:pPr>
      <w:r>
        <w:rPr>
          <w:b w:val="0"/>
          <w:i w:val="0"/>
          <w:sz w:val="22"/>
        </w:rPr>
        <w:t>—  a career crossing accounting/audit, cyber/privacy, people/employee experience and enterprise transformation;</w:t>
      </w:r>
    </w:p>
    <w:p>
      <w:pPr>
        <w:spacing w:before="0" w:after="56" w:line="274" w:lineRule="auto"/>
        <w:keepLines w:val="1"/>
      </w:pPr>
      <w:r>
        <w:rPr>
          <w:b w:val="0"/>
          <w:i w:val="0"/>
          <w:sz w:val="22"/>
        </w:rPr>
        <w:t>—  CISM exam preparation and a first-attempt non-pass.</w:t>
      </w:r>
    </w:p>
    <w:p>
      <w:pPr>
        <w:spacing w:before="68" w:after="90" w:line="274" w:lineRule="auto"/>
        <w:shd w:val="clear" w:fill="F3F0E8"/>
        <w:keepLines w:val="1"/>
      </w:pPr>
      <w:r>
        <w:rPr>
          <w:b/>
          <w:i w:val="0"/>
          <w:color w:val="9B2C10"/>
          <w:sz w:val="22"/>
        </w:rPr>
        <w:t>Do not invent an exam score, an exam date, any further attempts, a later passing result, employer-specific details or confidential industry information. Do not imply that all prior experience transfers.</w:t>
      </w:r>
    </w:p>
    <w:p>
      <w:pPr>
        <w:spacing w:before="0" w:after="112" w:line="274" w:lineRule="auto"/>
        <w:keepLines w:val="1"/>
      </w:pPr>
      <w:r>
        <w:rPr>
          <w:b/>
          <w:i w:val="0"/>
          <w:sz w:val="22"/>
        </w:rPr>
        <w:t>Some judgment travels. Context does not travel for free. Some knowledge, exposure or credentials must genuinely be earned.</w:t>
      </w:r>
    </w:p>
    <w:p>
      <w:pPr>
        <w:spacing w:before="156" w:after="90" w:line="274" w:lineRule="auto"/>
        <w:keepLines w:val="1"/>
        <w:keepNext w:val="1"/>
      </w:pPr>
      <w:r>
        <w:rPr>
          <w:b/>
          <w:i w:val="0"/>
          <w:color w:val="0F2346"/>
          <w:sz w:val="28"/>
        </w:rPr>
        <w:t>CTA and watch next</w:t>
      </w:r>
    </w:p>
    <w:p>
      <w:pPr>
        <w:spacing w:before="0" w:after="56" w:line="274" w:lineRule="auto"/>
        <w:keepLines w:val="1"/>
      </w:pPr>
      <w:r>
        <w:rPr>
          <w:b w:val="0"/>
          <w:i w:val="0"/>
          <w:sz w:val="22"/>
        </w:rPr>
        <w:t>One offer only: Capability Formation Field Kit — https://temidayoafonja.com/fieldkit</w:t>
      </w:r>
    </w:p>
    <w:p>
      <w:pPr>
        <w:spacing w:before="0" w:after="90" w:line="274" w:lineRule="auto"/>
        <w:keepLines w:val="1"/>
      </w:pPr>
      <w:r>
        <w:rPr>
          <w:b/>
          <w:i w:val="0"/>
          <w:sz w:val="22"/>
        </w:rPr>
        <w:t>Do not add Keep the Proof or the Career Decision Evidence Check.</w:t>
      </w:r>
    </w:p>
    <w:p>
      <w:pPr>
        <w:spacing w:before="0" w:after="56" w:line="274" w:lineRule="auto"/>
        <w:keepLines w:val="1"/>
      </w:pPr>
      <w:r>
        <w:rPr>
          <w:b/>
          <w:i w:val="0"/>
          <w:sz w:val="22"/>
        </w:rPr>
        <w:t>Watch next: What to Do Before a Layoff Happens  (Video 9)</w:t>
      </w:r>
    </w:p>
    <w:p>
      <w:pPr>
        <w:spacing w:before="44" w:after="90" w:line="274" w:lineRule="auto"/>
        <w:keepLines w:val="1"/>
      </w:pPr>
      <w:r>
        <w:rPr>
          <w:b/>
          <w:i w:val="0"/>
          <w:color w:val="9B2C10"/>
          <w:sz w:val="22"/>
        </w:rPr>
        <w:t>Do not leave Subscribe as the only end-screen element.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