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pPr>
      <w:r>
        <w:rPr>
          <w:b/>
          <w:i w:val="0"/>
          <w:caps/>
          <w:color w:val="8A6D1E"/>
          <w:sz w:val="20"/>
        </w:rPr>
        <w:t>CAREER PORTABILITY   |   VIDEO 8</w:t>
      </w:r>
    </w:p>
    <w:p>
      <w:pPr>
        <w:spacing w:before="0" w:after="120" w:line="264" w:lineRule="auto"/>
      </w:pPr>
      <w:r>
        <w:rPr>
          <w:b/>
          <w:i w:val="0"/>
          <w:color w:val="0F2346"/>
          <w:sz w:val="44"/>
        </w:rPr>
        <w:t>How to Move Into a New Industry Without Starting Over</w:t>
      </w:r>
    </w:p>
    <w:p>
      <w:pPr>
        <w:spacing w:before="0" w:after="280" w:line="300" w:lineRule="auto"/>
      </w:pPr>
      <w:r>
        <w:rPr>
          <w:b w:val="0"/>
          <w:i w:val="0"/>
          <w:color w:val="5A6B82"/>
          <w:sz w:val="22"/>
        </w:rPr>
        <w:t>First-pass production package  ·  slides, script, publishing and editor direction</w:t>
      </w:r>
    </w:p>
    <w:tbl>
      <w:tblPr>
        <w:tblStyle w:val="TableGrid"/>
        <w:tblW w:type="auto" w:w="0"/>
        <w:jc w:val="left"/>
        <w:tblLook w:firstColumn="1" w:firstRow="1" w:lastColumn="0" w:lastRow="0" w:noHBand="0" w:noVBand="1" w:val="04A0"/>
      </w:tblPr>
      <w:tblGrid>
        <w:gridCol w:w="4752"/>
        <w:gridCol w:w="4752"/>
      </w:tblGrid>
      <w:tr>
        <w:tc>
          <w:tcPr>
            <w:tcW w:type="dxa" w:w="2736"/>
          </w:tcPr>
          <w:p>
            <w:pPr>
              <w:spacing w:before="60" w:after="60"/>
            </w:pPr>
            <w:r/>
            <w:r>
              <w:rPr>
                <w:b/>
                <w:color w:val="0F2346"/>
                <w:sz w:val="20"/>
              </w:rPr>
              <w:t>Field</w:t>
            </w:r>
          </w:p>
        </w:tc>
        <w:tc>
          <w:tcPr>
            <w:tcW w:type="dxa" w:w="6768"/>
          </w:tcPr>
          <w:p>
            <w:pPr>
              <w:spacing w:before="60" w:after="60"/>
            </w:pPr>
            <w:r/>
            <w:r>
              <w:rPr>
                <w:b/>
                <w:color w:val="0F2346"/>
                <w:sz w:val="20"/>
              </w:rPr>
              <w:t>Value</w:t>
            </w:r>
          </w:p>
        </w:tc>
      </w:tr>
      <w:tr>
        <w:tc>
          <w:tcPr>
            <w:tcW w:type="dxa" w:w="2736"/>
          </w:tcPr>
          <w:p>
            <w:pPr>
              <w:spacing w:before="60" w:after="60"/>
            </w:pPr>
            <w:r/>
            <w:r>
              <w:rPr>
                <w:sz w:val="20"/>
              </w:rPr>
              <w:t>Final title</w:t>
            </w:r>
          </w:p>
        </w:tc>
        <w:tc>
          <w:tcPr>
            <w:tcW w:type="dxa" w:w="6768"/>
          </w:tcPr>
          <w:p>
            <w:pPr>
              <w:spacing w:before="60" w:after="60"/>
            </w:pPr>
            <w:r/>
            <w:r>
              <w:rPr>
                <w:sz w:val="20"/>
              </w:rPr>
              <w:t>How to Move Into a New Industry Without Starting Over</w:t>
            </w:r>
          </w:p>
        </w:tc>
      </w:tr>
      <w:tr>
        <w:tc>
          <w:tcPr>
            <w:tcW w:type="dxa" w:w="2736"/>
          </w:tcPr>
          <w:p>
            <w:pPr>
              <w:spacing w:before="60" w:after="60"/>
            </w:pPr>
            <w:r/>
            <w:r>
              <w:rPr>
                <w:sz w:val="20"/>
              </w:rPr>
              <w:t>Primary target keyword</w:t>
            </w:r>
          </w:p>
        </w:tc>
        <w:tc>
          <w:tcPr>
            <w:tcW w:type="dxa" w:w="6768"/>
          </w:tcPr>
          <w:p>
            <w:pPr>
              <w:spacing w:before="60" w:after="60"/>
            </w:pPr>
            <w:r/>
            <w:r>
              <w:rPr>
                <w:sz w:val="20"/>
              </w:rPr>
              <w:t>how to move into a new industry</w:t>
            </w:r>
          </w:p>
        </w:tc>
      </w:tr>
      <w:tr>
        <w:tc>
          <w:tcPr>
            <w:tcW w:type="dxa" w:w="2736"/>
          </w:tcPr>
          <w:p>
            <w:pPr>
              <w:spacing w:before="60" w:after="60"/>
            </w:pPr>
            <w:r/>
            <w:r>
              <w:rPr>
                <w:sz w:val="20"/>
              </w:rPr>
              <w:t>Secondary search language</w:t>
            </w:r>
          </w:p>
        </w:tc>
        <w:tc>
          <w:tcPr>
            <w:tcW w:type="dxa" w:w="6768"/>
          </w:tcPr>
          <w:p>
            <w:pPr>
              <w:spacing w:before="60" w:after="60"/>
            </w:pPr>
            <w:r/>
            <w:r>
              <w:rPr>
                <w:sz w:val="20"/>
              </w:rPr>
              <w:t>how to switch industries without starting over; transferable skills for a career change; how to change industries without starting over</w:t>
            </w:r>
          </w:p>
        </w:tc>
      </w:tr>
      <w:tr>
        <w:tc>
          <w:tcPr>
            <w:tcW w:type="dxa" w:w="2736"/>
          </w:tcPr>
          <w:p>
            <w:pPr>
              <w:spacing w:before="60" w:after="60"/>
            </w:pPr>
            <w:r/>
            <w:r>
              <w:rPr>
                <w:sz w:val="20"/>
              </w:rPr>
              <w:t>Viewer question</w:t>
            </w:r>
          </w:p>
        </w:tc>
        <w:tc>
          <w:tcPr>
            <w:tcW w:type="dxa" w:w="6768"/>
          </w:tcPr>
          <w:p>
            <w:pPr>
              <w:spacing w:before="60" w:after="60"/>
            </w:pPr>
            <w:r/>
            <w:r>
              <w:rPr>
                <w:sz w:val="20"/>
              </w:rPr>
              <w:t>What can I carry into a field where I am new?</w:t>
            </w:r>
          </w:p>
        </w:tc>
      </w:tr>
      <w:tr>
        <w:tc>
          <w:tcPr>
            <w:tcW w:type="dxa" w:w="2736"/>
          </w:tcPr>
          <w:p>
            <w:pPr>
              <w:spacing w:before="60" w:after="60"/>
            </w:pPr>
            <w:r/>
            <w:r>
              <w:rPr>
                <w:sz w:val="20"/>
              </w:rPr>
              <w:t>Locked thumbnail copy</w:t>
            </w:r>
          </w:p>
        </w:tc>
        <w:tc>
          <w:tcPr>
            <w:tcW w:type="dxa" w:w="6768"/>
          </w:tcPr>
          <w:p>
            <w:pPr>
              <w:spacing w:before="60" w:after="60"/>
            </w:pPr>
            <w:r/>
            <w:r>
              <w:rPr>
                <w:sz w:val="20"/>
              </w:rPr>
              <w:t>YOUR EXPERIENCE STILL COUNTS</w:t>
            </w:r>
          </w:p>
        </w:tc>
      </w:tr>
      <w:tr>
        <w:tc>
          <w:tcPr>
            <w:tcW w:type="dxa" w:w="2736"/>
          </w:tcPr>
          <w:p>
            <w:pPr>
              <w:spacing w:before="60" w:after="60"/>
            </w:pPr>
            <w:r/>
            <w:r>
              <w:rPr>
                <w:sz w:val="20"/>
              </w:rPr>
              <w:t>Thumbnail status</w:t>
            </w:r>
          </w:p>
        </w:tc>
        <w:tc>
          <w:tcPr>
            <w:tcW w:type="dxa" w:w="6768"/>
          </w:tcPr>
          <w:p>
            <w:pPr>
              <w:spacing w:before="60" w:after="60"/>
            </w:pPr>
            <w:r/>
            <w:r>
              <w:rPr>
                <w:sz w:val="20"/>
              </w:rPr>
              <w:t>To be created and approved externally in Canva. Not built, regenerated or substituted in this package.</w:t>
            </w:r>
          </w:p>
        </w:tc>
      </w:tr>
      <w:tr>
        <w:tc>
          <w:tcPr>
            <w:tcW w:type="dxa" w:w="2736"/>
          </w:tcPr>
          <w:p>
            <w:pPr>
              <w:spacing w:before="60" w:after="60"/>
            </w:pPr>
            <w:r/>
            <w:r>
              <w:rPr>
                <w:sz w:val="20"/>
              </w:rPr>
              <w:t>Primary CTA</w:t>
            </w:r>
          </w:p>
        </w:tc>
        <w:tc>
          <w:tcPr>
            <w:tcW w:type="dxa" w:w="6768"/>
          </w:tcPr>
          <w:p>
            <w:pPr>
              <w:spacing w:before="60" w:after="60"/>
            </w:pPr>
            <w:r/>
            <w:r>
              <w:rPr>
                <w:sz w:val="20"/>
              </w:rPr>
              <w:t>Capability Formation Field Kit</w:t>
            </w:r>
          </w:p>
        </w:tc>
      </w:tr>
      <w:tr>
        <w:tc>
          <w:tcPr>
            <w:tcW w:type="dxa" w:w="2736"/>
          </w:tcPr>
          <w:p>
            <w:pPr>
              <w:spacing w:before="60" w:after="60"/>
            </w:pPr>
            <w:r/>
            <w:r>
              <w:rPr>
                <w:sz w:val="20"/>
              </w:rPr>
              <w:t>CTA URL</w:t>
            </w:r>
          </w:p>
        </w:tc>
        <w:tc>
          <w:tcPr>
            <w:tcW w:type="dxa" w:w="6768"/>
          </w:tcPr>
          <w:p>
            <w:pPr>
              <w:spacing w:before="60" w:after="60"/>
            </w:pPr>
            <w:r/>
            <w:r>
              <w:rPr>
                <w:sz w:val="20"/>
              </w:rPr>
              <w:t>https://temidayoafonja.com/fieldkit</w:t>
            </w:r>
          </w:p>
        </w:tc>
      </w:tr>
      <w:tr>
        <w:tc>
          <w:tcPr>
            <w:tcW w:type="dxa" w:w="2736"/>
          </w:tcPr>
          <w:p>
            <w:pPr>
              <w:spacing w:before="60" w:after="60"/>
            </w:pPr>
            <w:r/>
            <w:r>
              <w:rPr>
                <w:sz w:val="20"/>
              </w:rPr>
              <w:t>Target length</w:t>
            </w:r>
          </w:p>
        </w:tc>
        <w:tc>
          <w:tcPr>
            <w:tcW w:type="dxa" w:w="6768"/>
          </w:tcPr>
          <w:p>
            <w:pPr>
              <w:spacing w:before="60" w:after="60"/>
            </w:pPr>
            <w:r/>
            <w:r>
              <w:rPr>
                <w:sz w:val="20"/>
              </w:rPr>
              <w:t>Approximately 9-12 minutes</w:t>
            </w:r>
          </w:p>
        </w:tc>
      </w:tr>
      <w:tr>
        <w:tc>
          <w:tcPr>
            <w:tcW w:type="dxa" w:w="2736"/>
          </w:tcPr>
          <w:p>
            <w:pPr>
              <w:spacing w:before="60" w:after="60"/>
            </w:pPr>
            <w:r/>
            <w:r>
              <w:rPr>
                <w:sz w:val="20"/>
              </w:rPr>
              <w:t>Spoken script length</w:t>
            </w:r>
          </w:p>
        </w:tc>
        <w:tc>
          <w:tcPr>
            <w:tcW w:type="dxa" w:w="6768"/>
          </w:tcPr>
          <w:p>
            <w:pPr>
              <w:spacing w:before="60" w:after="60"/>
            </w:pPr>
            <w:r/>
            <w:r>
              <w:rPr>
                <w:sz w:val="20"/>
              </w:rPr>
              <w:t>1607 words</w:t>
            </w:r>
          </w:p>
        </w:tc>
      </w:tr>
      <w:tr>
        <w:tc>
          <w:tcPr>
            <w:tcW w:type="dxa" w:w="2736"/>
          </w:tcPr>
          <w:p>
            <w:pPr>
              <w:spacing w:before="60" w:after="60"/>
            </w:pPr>
            <w:r/>
            <w:r>
              <w:rPr>
                <w:sz w:val="20"/>
              </w:rPr>
              <w:t>Slides</w:t>
            </w:r>
          </w:p>
        </w:tc>
        <w:tc>
          <w:tcPr>
            <w:tcW w:type="dxa" w:w="6768"/>
          </w:tcPr>
          <w:p>
            <w:pPr>
              <w:spacing w:before="60" w:after="60"/>
            </w:pPr>
            <w:r/>
            <w:r>
              <w:rPr>
                <w:sz w:val="20"/>
              </w:rPr>
              <w:t>12 main slides, 24 reveal frames</w:t>
            </w:r>
          </w:p>
        </w:tc>
      </w:tr>
      <w:tr>
        <w:tc>
          <w:tcPr>
            <w:tcW w:type="dxa" w:w="2736"/>
          </w:tcPr>
          <w:p>
            <w:pPr>
              <w:spacing w:before="60" w:after="60"/>
            </w:pPr>
            <w:r/>
            <w:r>
              <w:rPr>
                <w:sz w:val="20"/>
              </w:rPr>
              <w:t>Watch next</w:t>
            </w:r>
          </w:p>
        </w:tc>
        <w:tc>
          <w:tcPr>
            <w:tcW w:type="dxa" w:w="6768"/>
          </w:tcPr>
          <w:p>
            <w:pPr>
              <w:spacing w:before="60" w:after="60"/>
            </w:pPr>
            <w:r/>
            <w:r>
              <w:rPr>
                <w:sz w:val="20"/>
              </w:rPr>
              <w:t>What to Do Before a Layoff Happens (Video 9, not yet produced) - Career Portability playlist until it publishes</w:t>
            </w:r>
          </w:p>
        </w:tc>
      </w:tr>
    </w:tbl>
    <w:p>
      <w:pPr>
        <w:spacing w:before="0" w:after="120" w:line="300" w:lineRule="auto"/>
      </w:pPr>
      <w:r>
        <w:rPr>
          <w:b w:val="0"/>
          <w:i w:val="0"/>
          <w:sz w:val="12"/>
        </w:rPr>
      </w:r>
    </w:p>
    <w:p>
      <w:pPr>
        <w:spacing w:before="200" w:after="120" w:line="300" w:lineRule="auto"/>
      </w:pPr>
      <w:r>
        <w:rPr>
          <w:b/>
          <w:i w:val="0"/>
          <w:color w:val="0F2346"/>
          <w:sz w:val="22"/>
        </w:rPr>
        <w:t>LOCKED PRODUCTION DECISIONS</w:t>
      </w:r>
    </w:p>
    <w:tbl>
      <w:tblPr>
        <w:tblStyle w:val="TableGrid"/>
        <w:tblW w:type="auto" w:w="0"/>
        <w:jc w:val="left"/>
        <w:tblLook w:firstColumn="1" w:firstRow="1" w:lastColumn="0" w:lastRow="0" w:noHBand="0" w:noVBand="1" w:val="04A0"/>
      </w:tblPr>
      <w:tblGrid>
        <w:gridCol w:w="4752"/>
        <w:gridCol w:w="4752"/>
      </w:tblGrid>
      <w:tr>
        <w:tc>
          <w:tcPr>
            <w:tcW w:type="dxa" w:w="2736"/>
          </w:tcPr>
          <w:p>
            <w:pPr>
              <w:spacing w:before="60" w:after="60"/>
            </w:pPr>
            <w:r/>
            <w:r>
              <w:rPr>
                <w:b/>
                <w:color w:val="0F2346"/>
                <w:sz w:val="20"/>
              </w:rPr>
              <w:t>Decision</w:t>
            </w:r>
          </w:p>
        </w:tc>
        <w:tc>
          <w:tcPr>
            <w:tcW w:type="dxa" w:w="6768"/>
          </w:tcPr>
          <w:p>
            <w:pPr>
              <w:spacing w:before="60" w:after="60"/>
            </w:pPr>
            <w:r/>
            <w:r>
              <w:rPr>
                <w:b/>
                <w:color w:val="0F2346"/>
                <w:sz w:val="20"/>
              </w:rPr>
              <w:t>Detail</w:t>
            </w:r>
          </w:p>
        </w:tc>
      </w:tr>
      <w:tr>
        <w:tc>
          <w:tcPr>
            <w:tcW w:type="dxa" w:w="2736"/>
          </w:tcPr>
          <w:p>
            <w:pPr>
              <w:spacing w:before="60" w:after="60"/>
            </w:pPr>
            <w:r/>
            <w:r>
              <w:rPr>
                <w:sz w:val="20"/>
              </w:rPr>
              <w:t>Keyword rationale</w:t>
            </w:r>
          </w:p>
        </w:tc>
        <w:tc>
          <w:tcPr>
            <w:tcW w:type="dxa" w:w="6768"/>
          </w:tcPr>
          <w:p>
            <w:pPr>
              <w:spacing w:before="60" w:after="60"/>
            </w:pPr>
            <w:r/>
            <w:r>
              <w:rPr>
                <w:sz w:val="20"/>
              </w:rPr>
              <w:t>TubeBuddy, recorded 30 August 2026. “how to move into a new industry” 73/100 weighted, Very Good. “how to switch industries without starting over” 71/100. “transferable skills for a career change” 69/100. The roadmap's earlier wording, “how to change industries without starting at entry level,” scored 58/100. Production rationale only - never referenced in the video, and not a promise of performance.</w:t>
            </w:r>
          </w:p>
        </w:tc>
      </w:tr>
      <w:tr>
        <w:tc>
          <w:tcPr>
            <w:tcW w:type="dxa" w:w="2736"/>
          </w:tcPr>
          <w:p>
            <w:pPr>
              <w:spacing w:before="60" w:after="60"/>
            </w:pPr>
            <w:r/>
            <w:r>
              <w:rPr>
                <w:sz w:val="20"/>
              </w:rPr>
              <w:t>Title relationship to the roadmap</w:t>
            </w:r>
          </w:p>
        </w:tc>
        <w:tc>
          <w:tcPr>
            <w:tcW w:type="dxa" w:w="6768"/>
          </w:tcPr>
          <w:p>
            <w:pPr>
              <w:spacing w:before="60" w:after="60"/>
            </w:pPr>
            <w:r/>
            <w:r>
              <w:rPr>
                <w:sz w:val="20"/>
              </w:rPr>
              <w:t>The roadmap's working title is “How to Change Industries Without Starting at Entry Level.” The final title is an intentional SEO refinement of it. Viewer question, thumbnail copy, CTA and the three teaching moves are unchanged from the roadmap.</w:t>
            </w:r>
          </w:p>
        </w:tc>
      </w:tr>
      <w:tr>
        <w:tc>
          <w:tcPr>
            <w:tcW w:type="dxa" w:w="2736"/>
          </w:tcPr>
          <w:p>
            <w:pPr>
              <w:spacing w:before="60" w:after="60"/>
            </w:pPr>
            <w:r/>
            <w:r>
              <w:rPr>
                <w:sz w:val="20"/>
              </w:rPr>
              <w:t>Personal evidence ceiling</w:t>
            </w:r>
          </w:p>
        </w:tc>
        <w:tc>
          <w:tcPr>
            <w:tcW w:type="dxa" w:w="6768"/>
          </w:tcPr>
          <w:p>
            <w:pPr>
              <w:spacing w:before="60" w:after="60"/>
            </w:pPr>
            <w:r/>
            <w:r>
              <w:rPr>
                <w:sz w:val="20"/>
              </w:rPr>
              <w:t>Career span, eight industries and sectors, Deloitte/EY/PwC, Consultant to Head of Function, CISM preparation and an unsuccessful first attempt. Nothing beyond this. See section 2.</w:t>
            </w:r>
          </w:p>
        </w:tc>
      </w:tr>
      <w:tr>
        <w:tc>
          <w:tcPr>
            <w:tcW w:type="dxa" w:w="2736"/>
          </w:tcPr>
          <w:p>
            <w:pPr>
              <w:spacing w:before="60" w:after="60"/>
            </w:pPr>
            <w:r/>
            <w:r>
              <w:rPr>
                <w:sz w:val="20"/>
              </w:rPr>
              <w:t>Excluded metrics</w:t>
            </w:r>
          </w:p>
        </w:tc>
        <w:tc>
          <w:tcPr>
            <w:tcW w:type="dxa" w:w="6768"/>
          </w:tcPr>
          <w:p>
            <w:pPr>
              <w:spacing w:before="60" w:after="60"/>
            </w:pPr>
            <w:r/>
            <w:r>
              <w:rPr>
                <w:sz w:val="20"/>
              </w:rPr>
              <w:t>The 30% retention improvement and the $2M+ estimated turnover cost avoidance are excluded. See section 2.</w:t>
            </w:r>
          </w:p>
        </w:tc>
      </w:tr>
      <w:tr>
        <w:tc>
          <w:tcPr>
            <w:tcW w:type="dxa" w:w="2736"/>
          </w:tcPr>
          <w:p>
            <w:pPr>
              <w:spacing w:before="60" w:after="60"/>
            </w:pPr>
            <w:r/>
            <w:r>
              <w:rPr>
                <w:sz w:val="20"/>
              </w:rPr>
              <w:t>Offer exclusivity</w:t>
            </w:r>
          </w:p>
        </w:tc>
        <w:tc>
          <w:tcPr>
            <w:tcW w:type="dxa" w:w="6768"/>
          </w:tcPr>
          <w:p>
            <w:pPr>
              <w:spacing w:before="60" w:after="60"/>
            </w:pPr>
            <w:r/>
            <w:r>
              <w:rPr>
                <w:sz w:val="20"/>
              </w:rPr>
              <w:t>One offer on screen and in the script: the Capability Formation Field Kit. No Keep the Proof, no Career Decision Evidence Check, no Maven offering, no book.</w:t>
            </w:r>
          </w:p>
        </w:tc>
      </w:tr>
    </w:tbl>
    <w:p>
      <w:pPr>
        <w:spacing w:before="0" w:after="120" w:line="300" w:lineRule="auto"/>
      </w:pPr>
      <w:r>
        <w:rPr>
          <w:b w:val="0"/>
          <w:i w:val="0"/>
          <w:sz w:val="12"/>
        </w:rPr>
      </w:r>
    </w:p>
    <w:p>
      <w:pPr>
        <w:spacing w:before="440" w:after="200" w:line="300" w:lineRule="auto"/>
      </w:pPr>
      <w:r>
        <w:rPr>
          <w:b/>
          <w:i w:val="0"/>
          <w:color w:val="0F2346"/>
          <w:sz w:val="32"/>
        </w:rPr>
        <w:t>1. Strategy at a glance</w:t>
      </w:r>
    </w:p>
    <w:tbl>
      <w:tblPr>
        <w:tblStyle w:val="TableGrid"/>
        <w:tblW w:type="auto" w:w="0"/>
        <w:jc w:val="left"/>
        <w:tblLook w:firstColumn="1" w:firstRow="1" w:lastColumn="0" w:lastRow="0" w:noHBand="0" w:noVBand="1" w:val="04A0"/>
      </w:tblPr>
      <w:tblGrid>
        <w:gridCol w:w="4752"/>
        <w:gridCol w:w="4752"/>
      </w:tblGrid>
      <w:tr>
        <w:tc>
          <w:tcPr>
            <w:tcW w:type="dxa" w:w="2304"/>
          </w:tcPr>
          <w:p>
            <w:pPr>
              <w:spacing w:before="60" w:after="60"/>
            </w:pPr>
            <w:r/>
            <w:r>
              <w:rPr>
                <w:b/>
                <w:color w:val="0F2346"/>
                <w:sz w:val="20"/>
              </w:rPr>
              <w:t>Element</w:t>
            </w:r>
          </w:p>
        </w:tc>
        <w:tc>
          <w:tcPr>
            <w:tcW w:type="dxa" w:w="7200"/>
          </w:tcPr>
          <w:p>
            <w:pPr>
              <w:spacing w:before="60" w:after="60"/>
            </w:pPr>
            <w:r/>
            <w:r>
              <w:rPr>
                <w:b/>
                <w:color w:val="0F2346"/>
                <w:sz w:val="20"/>
              </w:rPr>
              <w:t>Decision</w:t>
            </w:r>
          </w:p>
        </w:tc>
      </w:tr>
      <w:tr>
        <w:tc>
          <w:tcPr>
            <w:tcW w:type="dxa" w:w="2304"/>
          </w:tcPr>
          <w:p>
            <w:pPr>
              <w:spacing w:before="60" w:after="60"/>
            </w:pPr>
            <w:r/>
            <w:r>
              <w:rPr>
                <w:sz w:val="20"/>
              </w:rPr>
              <w:t>Viewer</w:t>
            </w:r>
          </w:p>
        </w:tc>
        <w:tc>
          <w:tcPr>
            <w:tcW w:type="dxa" w:w="7200"/>
          </w:tcPr>
          <w:p>
            <w:pPr>
              <w:spacing w:before="60" w:after="60"/>
            </w:pPr>
            <w:r/>
            <w:r>
              <w:rPr>
                <w:sz w:val="20"/>
              </w:rPr>
              <w:t>Experienced professional, particularly a senior corporate woman with substantial career history and real financial, family and reputational stakes.</w:t>
            </w:r>
          </w:p>
        </w:tc>
      </w:tr>
      <w:tr>
        <w:tc>
          <w:tcPr>
            <w:tcW w:type="dxa" w:w="2304"/>
          </w:tcPr>
          <w:p>
            <w:pPr>
              <w:spacing w:before="60" w:after="60"/>
            </w:pPr>
            <w:r/>
            <w:r>
              <w:rPr>
                <w:sz w:val="20"/>
              </w:rPr>
              <w:t>Viewer question</w:t>
            </w:r>
          </w:p>
        </w:tc>
        <w:tc>
          <w:tcPr>
            <w:tcW w:type="dxa" w:w="7200"/>
          </w:tcPr>
          <w:p>
            <w:pPr>
              <w:spacing w:before="60" w:after="60"/>
            </w:pPr>
            <w:r/>
            <w:r>
              <w:rPr>
                <w:sz w:val="20"/>
              </w:rPr>
              <w:t>What can I carry into a field where I am new?</w:t>
            </w:r>
          </w:p>
        </w:tc>
      </w:tr>
      <w:tr>
        <w:tc>
          <w:tcPr>
            <w:tcW w:type="dxa" w:w="2304"/>
          </w:tcPr>
          <w:p>
            <w:pPr>
              <w:spacing w:before="60" w:after="60"/>
            </w:pPr>
            <w:r/>
            <w:r>
              <w:rPr>
                <w:sz w:val="20"/>
              </w:rPr>
              <w:t>Central distinction</w:t>
            </w:r>
          </w:p>
        </w:tc>
        <w:tc>
          <w:tcPr>
            <w:tcW w:type="dxa" w:w="7200"/>
          </w:tcPr>
          <w:p>
            <w:pPr>
              <w:spacing w:before="60" w:after="60"/>
            </w:pPr>
            <w:r/>
            <w:r>
              <w:rPr>
                <w:sz w:val="20"/>
              </w:rPr>
              <w:t>Changing industries does not make someone entry-level at everything. It makes them new to a context.</w:t>
            </w:r>
          </w:p>
        </w:tc>
      </w:tr>
      <w:tr>
        <w:tc>
          <w:tcPr>
            <w:tcW w:type="dxa" w:w="2304"/>
          </w:tcPr>
          <w:p>
            <w:pPr>
              <w:spacing w:before="60" w:after="60"/>
            </w:pPr>
            <w:r/>
            <w:r>
              <w:rPr>
                <w:sz w:val="20"/>
              </w:rPr>
              <w:t>Both extremes rejected</w:t>
            </w:r>
          </w:p>
        </w:tc>
        <w:tc>
          <w:tcPr>
            <w:tcW w:type="dxa" w:w="7200"/>
          </w:tcPr>
          <w:p>
            <w:pPr>
              <w:spacing w:before="60" w:after="60"/>
            </w:pPr>
            <w:r/>
            <w:r>
              <w:rPr>
                <w:sz w:val="20"/>
              </w:rPr>
              <w:t>“None of my previous experience counts” and “everything I did before will transfer automatically.”</w:t>
            </w:r>
          </w:p>
        </w:tc>
      </w:tr>
      <w:tr>
        <w:tc>
          <w:tcPr>
            <w:tcW w:type="dxa" w:w="2304"/>
          </w:tcPr>
          <w:p>
            <w:pPr>
              <w:spacing w:before="60" w:after="60"/>
            </w:pPr>
            <w:r/>
            <w:r>
              <w:rPr>
                <w:sz w:val="20"/>
              </w:rPr>
              <w:t>Teaching spine</w:t>
            </w:r>
          </w:p>
        </w:tc>
        <w:tc>
          <w:tcPr>
            <w:tcW w:type="dxa" w:w="7200"/>
          </w:tcPr>
          <w:p>
            <w:pPr>
              <w:spacing w:before="60" w:after="60"/>
            </w:pPr>
            <w:r/>
            <w:r>
              <w:rPr>
                <w:sz w:val="20"/>
              </w:rPr>
              <w:t>Separate capability, context and credential; match judgment to destination problems; build bridge evidence and a learning plan.</w:t>
            </w:r>
          </w:p>
        </w:tc>
      </w:tr>
      <w:tr>
        <w:tc>
          <w:tcPr>
            <w:tcW w:type="dxa" w:w="2304"/>
          </w:tcPr>
          <w:p>
            <w:pPr>
              <w:spacing w:before="60" w:after="60"/>
            </w:pPr>
            <w:r/>
            <w:r>
              <w:rPr>
                <w:sz w:val="20"/>
              </w:rPr>
              <w:t>What this video is not</w:t>
            </w:r>
          </w:p>
        </w:tc>
        <w:tc>
          <w:tcPr>
            <w:tcW w:type="dxa" w:w="7200"/>
          </w:tcPr>
          <w:p>
            <w:pPr>
              <w:spacing w:before="60" w:after="60"/>
            </w:pPr>
            <w:r/>
            <w:r>
              <w:rPr>
                <w:sz w:val="20"/>
              </w:rPr>
              <w:t>Not a promise that the viewer can avoid every tradeoff of changing industries. Not permission to overstate familiarity.</w:t>
            </w:r>
          </w:p>
        </w:tc>
      </w:tr>
    </w:tbl>
    <w:p>
      <w:pPr>
        <w:spacing w:before="0" w:after="120" w:line="300" w:lineRule="auto"/>
      </w:pPr>
      <w:r>
        <w:rPr>
          <w:b w:val="0"/>
          <w:i w:val="0"/>
          <w:sz w:val="12"/>
        </w:rPr>
      </w:r>
    </w:p>
    <w:tbl>
      <w:tblPr>
        <w:tblStyle w:val="TableGrid"/>
        <w:tblW w:type="auto" w:w="0"/>
        <w:jc w:val="left"/>
        <w:tblLook w:firstColumn="1" w:firstRow="1" w:lastColumn="0" w:lastRow="0" w:noHBand="0" w:noVBand="1" w:val="04A0"/>
      </w:tblPr>
      <w:tblGrid>
        <w:gridCol w:w="4752"/>
        <w:gridCol w:w="4752"/>
      </w:tblGrid>
      <w:tr>
        <w:tc>
          <w:tcPr>
            <w:tcW w:type="dxa" w:w="3456"/>
          </w:tcPr>
          <w:p>
            <w:pPr>
              <w:spacing w:before="60" w:after="60"/>
            </w:pPr>
            <w:r/>
            <w:r>
              <w:rPr>
                <w:b/>
                <w:color w:val="0F2346"/>
                <w:sz w:val="20"/>
              </w:rPr>
              <w:t>Architecture beat</w:t>
            </w:r>
          </w:p>
        </w:tc>
        <w:tc>
          <w:tcPr>
            <w:tcW w:type="dxa" w:w="6048"/>
          </w:tcPr>
          <w:p>
            <w:pPr>
              <w:spacing w:before="60" w:after="60"/>
            </w:pPr>
            <w:r/>
            <w:r>
              <w:rPr>
                <w:b/>
                <w:color w:val="0F2346"/>
                <w:sz w:val="20"/>
              </w:rPr>
              <w:t>Where it lands</w:t>
            </w:r>
          </w:p>
        </w:tc>
      </w:tr>
      <w:tr>
        <w:tc>
          <w:tcPr>
            <w:tcW w:type="dxa" w:w="3456"/>
          </w:tcPr>
          <w:p>
            <w:pPr>
              <w:spacing w:before="60" w:after="60"/>
            </w:pPr>
            <w:r/>
            <w:r>
              <w:rPr>
                <w:sz w:val="20"/>
              </w:rPr>
              <w:t>Hook</w:t>
            </w:r>
          </w:p>
        </w:tc>
        <w:tc>
          <w:tcPr>
            <w:tcW w:type="dxa" w:w="6048"/>
          </w:tcPr>
          <w:p>
            <w:pPr>
              <w:spacing w:before="60" w:after="60"/>
            </w:pPr>
            <w:r/>
            <w:r>
              <w:rPr>
                <w:sz w:val="20"/>
              </w:rPr>
              <w:t>0:00 - the locked opening distinction</w:t>
            </w:r>
          </w:p>
        </w:tc>
      </w:tr>
      <w:tr>
        <w:tc>
          <w:tcPr>
            <w:tcW w:type="dxa" w:w="3456"/>
          </w:tcPr>
          <w:p>
            <w:pPr>
              <w:spacing w:before="60" w:after="60"/>
            </w:pPr>
            <w:r/>
            <w:r>
              <w:rPr>
                <w:sz w:val="20"/>
              </w:rPr>
              <w:t>Viewer payoff</w:t>
            </w:r>
          </w:p>
        </w:tc>
        <w:tc>
          <w:tcPr>
            <w:tcW w:type="dxa" w:w="6048"/>
          </w:tcPr>
          <w:p>
            <w:pPr>
              <w:spacing w:before="60" w:after="60"/>
            </w:pPr>
            <w:r/>
            <w:r>
              <w:rPr>
                <w:sz w:val="20"/>
              </w:rPr>
              <w:t>0:15 - three piles, and how to show the first</w:t>
            </w:r>
          </w:p>
        </w:tc>
      </w:tr>
      <w:tr>
        <w:tc>
          <w:tcPr>
            <w:tcW w:type="dxa" w:w="3456"/>
          </w:tcPr>
          <w:p>
            <w:pPr>
              <w:spacing w:before="60" w:after="60"/>
            </w:pPr>
            <w:r/>
            <w:r>
              <w:rPr>
                <w:sz w:val="20"/>
              </w:rPr>
              <w:t>Early proof</w:t>
            </w:r>
          </w:p>
        </w:tc>
        <w:tc>
          <w:tcPr>
            <w:tcW w:type="dxa" w:w="6048"/>
          </w:tcPr>
          <w:p>
            <w:pPr>
              <w:spacing w:before="60" w:after="60"/>
            </w:pPr>
            <w:r/>
            <w:r>
              <w:rPr>
                <w:sz w:val="20"/>
              </w:rPr>
              <w:t>0:30 - career span, sectors, firms, CISM</w:t>
            </w:r>
          </w:p>
        </w:tc>
      </w:tr>
      <w:tr>
        <w:tc>
          <w:tcPr>
            <w:tcW w:type="dxa" w:w="3456"/>
          </w:tcPr>
          <w:p>
            <w:pPr>
              <w:spacing w:before="60" w:after="60"/>
            </w:pPr>
            <w:r/>
            <w:r>
              <w:rPr>
                <w:sz w:val="20"/>
              </w:rPr>
              <w:t>Brief introduction</w:t>
            </w:r>
          </w:p>
        </w:tc>
        <w:tc>
          <w:tcPr>
            <w:tcW w:type="dxa" w:w="6048"/>
          </w:tcPr>
          <w:p>
            <w:pPr>
              <w:spacing w:before="60" w:after="60"/>
            </w:pPr>
            <w:r/>
            <w:r>
              <w:rPr>
                <w:sz w:val="20"/>
              </w:rPr>
              <w:t>1:05 - one positioning line, after the proof</w:t>
            </w:r>
          </w:p>
        </w:tc>
      </w:tr>
      <w:tr>
        <w:tc>
          <w:tcPr>
            <w:tcW w:type="dxa" w:w="3456"/>
          </w:tcPr>
          <w:p>
            <w:pPr>
              <w:spacing w:before="60" w:after="60"/>
            </w:pPr>
            <w:r/>
            <w:r>
              <w:rPr>
                <w:sz w:val="20"/>
              </w:rPr>
              <w:t>Teaching</w:t>
            </w:r>
          </w:p>
        </w:tc>
        <w:tc>
          <w:tcPr>
            <w:tcW w:type="dxa" w:w="6048"/>
          </w:tcPr>
          <w:p>
            <w:pPr>
              <w:spacing w:before="60" w:after="60"/>
            </w:pPr>
            <w:r/>
            <w:r>
              <w:rPr>
                <w:sz w:val="20"/>
              </w:rPr>
              <w:t>1:15 onward - what changes, then the three moves</w:t>
            </w:r>
          </w:p>
        </w:tc>
      </w:tr>
      <w:tr>
        <w:tc>
          <w:tcPr>
            <w:tcW w:type="dxa" w:w="3456"/>
          </w:tcPr>
          <w:p>
            <w:pPr>
              <w:spacing w:before="60" w:after="60"/>
            </w:pPr>
            <w:r/>
            <w:r>
              <w:rPr>
                <w:sz w:val="20"/>
              </w:rPr>
              <w:t>Usable test</w:t>
            </w:r>
          </w:p>
        </w:tc>
        <w:tc>
          <w:tcPr>
            <w:tcW w:type="dxa" w:w="6048"/>
          </w:tcPr>
          <w:p>
            <w:pPr>
              <w:spacing w:before="60" w:after="60"/>
            </w:pPr>
            <w:r/>
            <w:r>
              <w:rPr>
                <w:sz w:val="20"/>
              </w:rPr>
              <w:t>8:30 - what travels / what changes / what I must earn</w:t>
            </w:r>
          </w:p>
        </w:tc>
      </w:tr>
      <w:tr>
        <w:tc>
          <w:tcPr>
            <w:tcW w:type="dxa" w:w="3456"/>
          </w:tcPr>
          <w:p>
            <w:pPr>
              <w:spacing w:before="60" w:after="60"/>
            </w:pPr>
            <w:r/>
            <w:r>
              <w:rPr>
                <w:sz w:val="20"/>
              </w:rPr>
              <w:t>Earned next step</w:t>
            </w:r>
          </w:p>
        </w:tc>
        <w:tc>
          <w:tcPr>
            <w:tcW w:type="dxa" w:w="6048"/>
          </w:tcPr>
          <w:p>
            <w:pPr>
              <w:spacing w:before="60" w:after="60"/>
            </w:pPr>
            <w:r/>
            <w:r>
              <w:rPr>
                <w:sz w:val="20"/>
              </w:rPr>
              <w:t>9:30 - Capability Formation Field Kit</w:t>
            </w:r>
          </w:p>
        </w:tc>
      </w:tr>
    </w:tbl>
    <w:p>
      <w:pPr>
        <w:spacing w:before="0" w:after="120" w:line="300" w:lineRule="auto"/>
      </w:pPr>
      <w:r>
        <w:rPr>
          <w:b w:val="0"/>
          <w:i w:val="0"/>
          <w:sz w:val="12"/>
        </w:rPr>
      </w:r>
    </w:p>
    <w:p>
      <w:pPr>
        <w:spacing w:before="440" w:after="200" w:line="300" w:lineRule="auto"/>
      </w:pPr>
      <w:r>
        <w:rPr>
          <w:b/>
          <w:i w:val="0"/>
          <w:color w:val="0F2346"/>
          <w:sz w:val="32"/>
        </w:rPr>
        <w:t>2. Editorial thesis and factual boundaries</w:t>
      </w:r>
    </w:p>
    <w:p>
      <w:pPr>
        <w:spacing w:before="0" w:after="200" w:line="300" w:lineRule="auto"/>
      </w:pPr>
      <w:r>
        <w:rPr>
          <w:b w:val="0"/>
          <w:i w:val="0"/>
          <w:sz w:val="22"/>
        </w:rPr>
        <w:t>Thesis. Moving industries is a context problem wearing the costume of a competence problem. Capability is portable, context is learnable, and credential is the only category that may genuinely have to be earned - but the three feel identical from the inside, which is why the move is mishandled in both directions.</w:t>
      </w:r>
    </w:p>
    <w:tbl>
      <w:tblPr>
        <w:tblStyle w:val="TableGrid"/>
        <w:tblW w:type="auto" w:w="0"/>
        <w:jc w:val="left"/>
        <w:tblLook w:firstColumn="1" w:firstRow="1" w:lastColumn="0" w:lastRow="0" w:noHBand="0" w:noVBand="1" w:val="04A0"/>
      </w:tblPr>
      <w:tblGrid>
        <w:gridCol w:w="4752"/>
        <w:gridCol w:w="4752"/>
      </w:tblGrid>
      <w:tr>
        <w:tc>
          <w:tcPr>
            <w:tcW w:type="dxa" w:w="2448"/>
          </w:tcPr>
          <w:p>
            <w:pPr>
              <w:spacing w:before="60" w:after="60"/>
            </w:pPr>
            <w:r/>
            <w:r>
              <w:rPr>
                <w:b/>
                <w:color w:val="0F2346"/>
                <w:sz w:val="20"/>
              </w:rPr>
              <w:t>Boundary</w:t>
            </w:r>
          </w:p>
        </w:tc>
        <w:tc>
          <w:tcPr>
            <w:tcW w:type="dxa" w:w="7056"/>
          </w:tcPr>
          <w:p>
            <w:pPr>
              <w:spacing w:before="60" w:after="60"/>
            </w:pPr>
            <w:r/>
            <w:r>
              <w:rPr>
                <w:b/>
                <w:color w:val="0F2346"/>
                <w:sz w:val="20"/>
              </w:rPr>
              <w:t>Ruling</w:t>
            </w:r>
          </w:p>
        </w:tc>
      </w:tr>
      <w:tr>
        <w:tc>
          <w:tcPr>
            <w:tcW w:type="dxa" w:w="2448"/>
          </w:tcPr>
          <w:p>
            <w:pPr>
              <w:spacing w:before="60" w:after="60"/>
            </w:pPr>
            <w:r/>
            <w:r>
              <w:rPr>
                <w:sz w:val="20"/>
              </w:rPr>
              <w:t>Career span</w:t>
            </w:r>
          </w:p>
        </w:tc>
        <w:tc>
          <w:tcPr>
            <w:tcW w:type="dxa" w:w="7056"/>
          </w:tcPr>
          <w:p>
            <w:pPr>
              <w:spacing w:before="60" w:after="60"/>
            </w:pPr>
            <w:r/>
            <w:r>
              <w:rPr>
                <w:sz w:val="20"/>
              </w:rPr>
              <w:t>Spoken as “nearly two decades.” NOT as “18 years.” docs/claims-ledger.md section 6 records that the published wording was changed from “eighteen years” to “nearly two decades” by operator decision in August 2026, and that “eighteen years” now appears nowhere in the repository. Using the retired wording in a public video would reintroduce it. Same fact, approved wording. Flagged in the QA README as a conflict with the brief and the roadmap.</w:t>
            </w:r>
          </w:p>
        </w:tc>
      </w:tr>
      <w:tr>
        <w:tc>
          <w:tcPr>
            <w:tcW w:type="dxa" w:w="2448"/>
          </w:tcPr>
          <w:p>
            <w:pPr>
              <w:spacing w:before="60" w:after="60"/>
            </w:pPr>
            <w:r/>
            <w:r>
              <w:rPr>
                <w:sz w:val="20"/>
              </w:rPr>
              <w:t>Industries and firms</w:t>
            </w:r>
          </w:p>
        </w:tc>
        <w:tc>
          <w:tcPr>
            <w:tcW w:type="dxa" w:w="7056"/>
          </w:tcPr>
          <w:p>
            <w:pPr>
              <w:spacing w:before="60" w:after="60"/>
            </w:pPr>
            <w:r/>
            <w:r>
              <w:rPr>
                <w:sz w:val="20"/>
              </w:rPr>
              <w:t>“eight industries and sectors” and “Deloitte, EY and PwC” are roadmap-sourced and used as written. No employer logo appears on screen.</w:t>
            </w:r>
          </w:p>
        </w:tc>
      </w:tr>
      <w:tr>
        <w:tc>
          <w:tcPr>
            <w:tcW w:type="dxa" w:w="2448"/>
          </w:tcPr>
          <w:p>
            <w:pPr>
              <w:spacing w:before="60" w:after="60"/>
            </w:pPr>
            <w:r/>
            <w:r>
              <w:rPr>
                <w:sz w:val="20"/>
              </w:rPr>
              <w:t>Progression</w:t>
            </w:r>
          </w:p>
        </w:tc>
        <w:tc>
          <w:tcPr>
            <w:tcW w:type="dxa" w:w="7056"/>
          </w:tcPr>
          <w:p>
            <w:pPr>
              <w:spacing w:before="60" w:after="60"/>
            </w:pPr>
            <w:r/>
            <w:r>
              <w:rPr>
                <w:sz w:val="20"/>
              </w:rPr>
              <w:t>“Consultant to Head of Function.” The roadmap boundary “do not claim promotion in every industry” is observed: no promotion is attributed to any specific industry.</w:t>
            </w:r>
          </w:p>
        </w:tc>
      </w:tr>
      <w:tr>
        <w:tc>
          <w:tcPr>
            <w:tcW w:type="dxa" w:w="2448"/>
          </w:tcPr>
          <w:p>
            <w:pPr>
              <w:spacing w:before="60" w:after="60"/>
            </w:pPr>
            <w:r/>
            <w:r>
              <w:rPr>
                <w:sz w:val="20"/>
              </w:rPr>
              <w:t>CISM</w:t>
            </w:r>
          </w:p>
        </w:tc>
        <w:tc>
          <w:tcPr>
            <w:tcW w:type="dxa" w:w="7056"/>
          </w:tcPr>
          <w:p>
            <w:pPr>
              <w:spacing w:before="60" w:after="60"/>
            </w:pPr>
            <w:r/>
            <w:r>
              <w:rPr>
                <w:sz w:val="20"/>
              </w:rPr>
              <w:t>Only that Temidayo prepared for the CISM exam and did not pass the first time. No score, date, reason or consequence is stated, and no career result is attributed to it. It is used to show that portability still requires relearning.</w:t>
            </w:r>
          </w:p>
        </w:tc>
      </w:tr>
      <w:tr>
        <w:tc>
          <w:tcPr>
            <w:tcW w:type="dxa" w:w="2448"/>
          </w:tcPr>
          <w:p>
            <w:pPr>
              <w:spacing w:before="60" w:after="60"/>
            </w:pPr>
            <w:r/>
            <w:r>
              <w:rPr>
                <w:sz w:val="20"/>
              </w:rPr>
              <w:t>30% retention improvement</w:t>
            </w:r>
          </w:p>
        </w:tc>
        <w:tc>
          <w:tcPr>
            <w:tcW w:type="dxa" w:w="7056"/>
          </w:tcPr>
          <w:p>
            <w:pPr>
              <w:spacing w:before="60" w:after="60"/>
            </w:pPr>
            <w:r/>
            <w:r>
              <w:rPr>
                <w:sz w:val="20"/>
              </w:rPr>
              <w:t>EXCLUDED. docs/claims-ledger.md records it as “Needs source” with no supporting document on file, and the roadmap instructs: do not attach either metric to a role or intervention until the relationship is documented. No connection to this story exists.</w:t>
            </w:r>
          </w:p>
        </w:tc>
      </w:tr>
      <w:tr>
        <w:tc>
          <w:tcPr>
            <w:tcW w:type="dxa" w:w="2448"/>
          </w:tcPr>
          <w:p>
            <w:pPr>
              <w:spacing w:before="60" w:after="60"/>
            </w:pPr>
            <w:r/>
            <w:r>
              <w:rPr>
                <w:sz w:val="20"/>
              </w:rPr>
              <w:t>$2M+ turnover cost avoidance</w:t>
            </w:r>
          </w:p>
        </w:tc>
        <w:tc>
          <w:tcPr>
            <w:tcW w:type="dxa" w:w="7056"/>
          </w:tcPr>
          <w:p>
            <w:pPr>
              <w:spacing w:before="60" w:after="60"/>
            </w:pPr>
            <w:r/>
            <w:r>
              <w:rPr>
                <w:sz w:val="20"/>
              </w:rPr>
              <w:t>EXCLUDED, on the same basis.</w:t>
            </w:r>
          </w:p>
        </w:tc>
      </w:tr>
      <w:tr>
        <w:tc>
          <w:tcPr>
            <w:tcW w:type="dxa" w:w="2448"/>
          </w:tcPr>
          <w:p>
            <w:pPr>
              <w:spacing w:before="60" w:after="60"/>
            </w:pPr>
            <w:r/>
            <w:r>
              <w:rPr>
                <w:sz w:val="20"/>
              </w:rPr>
              <w:t>Causal claims</w:t>
            </w:r>
          </w:p>
        </w:tc>
        <w:tc>
          <w:tcPr>
            <w:tcW w:type="dxa" w:w="7056"/>
          </w:tcPr>
          <w:p>
            <w:pPr>
              <w:spacing w:before="60" w:after="60"/>
            </w:pPr>
            <w:r/>
            <w:r>
              <w:rPr>
                <w:sz w:val="20"/>
              </w:rPr>
              <w:t>None. No employer is said to have caused a later outcome, no move is described as seamless, and no prior skill is claimed to have transferred automatically.</w:t>
            </w:r>
          </w:p>
        </w:tc>
      </w:tr>
      <w:tr>
        <w:tc>
          <w:tcPr>
            <w:tcW w:type="dxa" w:w="2448"/>
          </w:tcPr>
          <w:p>
            <w:pPr>
              <w:spacing w:before="60" w:after="60"/>
            </w:pPr>
            <w:r/>
            <w:r>
              <w:rPr>
                <w:sz w:val="20"/>
              </w:rPr>
              <w:t>Confidentiality</w:t>
            </w:r>
          </w:p>
        </w:tc>
        <w:tc>
          <w:tcPr>
            <w:tcW w:type="dxa" w:w="7056"/>
          </w:tcPr>
          <w:p>
            <w:pPr>
              <w:spacing w:before="60" w:after="60"/>
            </w:pPr>
            <w:r/>
            <w:r>
              <w:rPr>
                <w:sz w:val="20"/>
              </w:rPr>
              <w:t>Bridge evidence is limited to non-confidential material. The script states outright that inventing experience or implying more familiarity than you have is not permitted.</w:t>
            </w:r>
          </w:p>
        </w:tc>
      </w:tr>
    </w:tbl>
    <w:p>
      <w:pPr>
        <w:spacing w:before="0" w:after="120" w:line="300" w:lineRule="auto"/>
      </w:pPr>
      <w:r>
        <w:rPr>
          <w:b w:val="0"/>
          <w:i w:val="0"/>
          <w:sz w:val="12"/>
        </w:rPr>
      </w:r>
    </w:p>
    <w:p>
      <w:pPr>
        <w:spacing w:before="440" w:after="200" w:line="300" w:lineRule="auto"/>
      </w:pPr>
      <w:r>
        <w:rPr>
          <w:b/>
          <w:i w:val="0"/>
          <w:color w:val="0F2346"/>
          <w:sz w:val="32"/>
        </w:rPr>
        <w:t>3. Timed script outline</w:t>
      </w:r>
    </w:p>
    <w:tbl>
      <w:tblPr>
        <w:tblStyle w:val="TableGrid"/>
        <w:tblW w:type="auto" w:w="0"/>
        <w:jc w:val="left"/>
        <w:tblLook w:firstColumn="1" w:firstRow="1" w:lastColumn="0" w:lastRow="0" w:noHBand="0" w:noVBand="1" w:val="04A0"/>
      </w:tblPr>
      <w:tblGrid>
        <w:gridCol w:w="3168"/>
        <w:gridCol w:w="3168"/>
        <w:gridCol w:w="3168"/>
      </w:tblGrid>
      <w:tr>
        <w:tc>
          <w:tcPr>
            <w:tcW w:type="dxa" w:w="1728"/>
          </w:tcPr>
          <w:p>
            <w:pPr>
              <w:spacing w:before="60" w:after="60"/>
            </w:pPr>
            <w:r/>
            <w:r>
              <w:rPr>
                <w:b/>
                <w:color w:val="0F2346"/>
                <w:sz w:val="20"/>
              </w:rPr>
              <w:t>Time</w:t>
            </w:r>
          </w:p>
        </w:tc>
        <w:tc>
          <w:tcPr>
            <w:tcW w:type="dxa" w:w="5616"/>
          </w:tcPr>
          <w:p>
            <w:pPr>
              <w:spacing w:before="60" w:after="60"/>
            </w:pPr>
            <w:r/>
            <w:r>
              <w:rPr>
                <w:b/>
                <w:color w:val="0F2346"/>
                <w:sz w:val="20"/>
              </w:rPr>
              <w:t>Block</w:t>
            </w:r>
          </w:p>
        </w:tc>
        <w:tc>
          <w:tcPr>
            <w:tcW w:type="dxa" w:w="2160"/>
          </w:tcPr>
          <w:p>
            <w:pPr>
              <w:spacing w:before="60" w:after="60"/>
            </w:pPr>
            <w:r/>
            <w:r>
              <w:rPr>
                <w:b/>
                <w:color w:val="0F2346"/>
                <w:sz w:val="20"/>
              </w:rPr>
              <w:t>Slide</w:t>
            </w:r>
          </w:p>
        </w:tc>
      </w:tr>
      <w:tr>
        <w:tc>
          <w:tcPr>
            <w:tcW w:type="dxa" w:w="1728"/>
          </w:tcPr>
          <w:p>
            <w:pPr>
              <w:spacing w:before="60" w:after="60"/>
            </w:pPr>
            <w:r/>
            <w:r>
              <w:rPr>
                <w:sz w:val="20"/>
              </w:rPr>
              <w:t>0:00-0:30</w:t>
            </w:r>
          </w:p>
        </w:tc>
        <w:tc>
          <w:tcPr>
            <w:tcW w:type="dxa" w:w="5616"/>
          </w:tcPr>
          <w:p>
            <w:pPr>
              <w:spacing w:before="60" w:after="60"/>
            </w:pPr>
            <w:r/>
            <w:r>
              <w:rPr>
                <w:sz w:val="20"/>
              </w:rPr>
              <w:t>HOOK + PROMISE</w:t>
            </w:r>
          </w:p>
        </w:tc>
        <w:tc>
          <w:tcPr>
            <w:tcW w:type="dxa" w:w="2160"/>
          </w:tcPr>
          <w:p>
            <w:pPr>
              <w:spacing w:before="60" w:after="60"/>
            </w:pPr>
            <w:r/>
            <w:r>
              <w:rPr>
                <w:sz w:val="20"/>
              </w:rPr>
              <w:t>1</w:t>
            </w:r>
          </w:p>
        </w:tc>
      </w:tr>
      <w:tr>
        <w:tc>
          <w:tcPr>
            <w:tcW w:type="dxa" w:w="1728"/>
          </w:tcPr>
          <w:p>
            <w:pPr>
              <w:spacing w:before="60" w:after="60"/>
            </w:pPr>
            <w:r/>
            <w:r>
              <w:rPr>
                <w:sz w:val="20"/>
              </w:rPr>
              <w:t>0:30-1:15</w:t>
            </w:r>
          </w:p>
        </w:tc>
        <w:tc>
          <w:tcPr>
            <w:tcW w:type="dxa" w:w="5616"/>
          </w:tcPr>
          <w:p>
            <w:pPr>
              <w:spacing w:before="60" w:after="60"/>
            </w:pPr>
            <w:r/>
            <w:r>
              <w:rPr>
                <w:sz w:val="20"/>
              </w:rPr>
              <w:t>EARLY PROOF + INTRODUCTION</w:t>
            </w:r>
          </w:p>
        </w:tc>
        <w:tc>
          <w:tcPr>
            <w:tcW w:type="dxa" w:w="2160"/>
          </w:tcPr>
          <w:p>
            <w:pPr>
              <w:spacing w:before="60" w:after="60"/>
            </w:pPr>
            <w:r/>
            <w:r>
              <w:rPr>
                <w:sz w:val="20"/>
              </w:rPr>
              <w:t>-</w:t>
            </w:r>
          </w:p>
        </w:tc>
      </w:tr>
      <w:tr>
        <w:tc>
          <w:tcPr>
            <w:tcW w:type="dxa" w:w="1728"/>
          </w:tcPr>
          <w:p>
            <w:pPr>
              <w:spacing w:before="60" w:after="60"/>
            </w:pPr>
            <w:r/>
            <w:r>
              <w:rPr>
                <w:sz w:val="20"/>
              </w:rPr>
              <w:t>1:15-2:15</w:t>
            </w:r>
          </w:p>
        </w:tc>
        <w:tc>
          <w:tcPr>
            <w:tcW w:type="dxa" w:w="5616"/>
          </w:tcPr>
          <w:p>
            <w:pPr>
              <w:spacing w:before="60" w:after="60"/>
            </w:pPr>
            <w:r/>
            <w:r>
              <w:rPr>
                <w:sz w:val="20"/>
              </w:rPr>
              <w:t>WHAT ACTUALLY CHANGES</w:t>
            </w:r>
          </w:p>
        </w:tc>
        <w:tc>
          <w:tcPr>
            <w:tcW w:type="dxa" w:w="2160"/>
          </w:tcPr>
          <w:p>
            <w:pPr>
              <w:spacing w:before="60" w:after="60"/>
            </w:pPr>
            <w:r/>
            <w:r>
              <w:rPr>
                <w:sz w:val="20"/>
              </w:rPr>
              <w:t>2</w:t>
            </w:r>
          </w:p>
        </w:tc>
      </w:tr>
      <w:tr>
        <w:tc>
          <w:tcPr>
            <w:tcW w:type="dxa" w:w="1728"/>
          </w:tcPr>
          <w:p>
            <w:pPr>
              <w:spacing w:before="60" w:after="60"/>
            </w:pPr>
            <w:r/>
            <w:r>
              <w:rPr>
                <w:sz w:val="20"/>
              </w:rPr>
              <w:t>2:15-4:10</w:t>
            </w:r>
          </w:p>
        </w:tc>
        <w:tc>
          <w:tcPr>
            <w:tcW w:type="dxa" w:w="5616"/>
          </w:tcPr>
          <w:p>
            <w:pPr>
              <w:spacing w:before="60" w:after="60"/>
            </w:pPr>
            <w:r/>
            <w:r>
              <w:rPr>
                <w:sz w:val="20"/>
              </w:rPr>
              <w:t>MOVE ONE — SEPARATE CAPABILITY, CONTEXT AND CREDENTIAL</w:t>
            </w:r>
          </w:p>
        </w:tc>
        <w:tc>
          <w:tcPr>
            <w:tcW w:type="dxa" w:w="2160"/>
          </w:tcPr>
          <w:p>
            <w:pPr>
              <w:spacing w:before="60" w:after="60"/>
            </w:pPr>
            <w:r/>
            <w:r>
              <w:rPr>
                <w:sz w:val="20"/>
              </w:rPr>
              <w:t>3, 4, 5, 6</w:t>
            </w:r>
          </w:p>
        </w:tc>
      </w:tr>
      <w:tr>
        <w:tc>
          <w:tcPr>
            <w:tcW w:type="dxa" w:w="1728"/>
          </w:tcPr>
          <w:p>
            <w:pPr>
              <w:spacing w:before="60" w:after="60"/>
            </w:pPr>
            <w:r/>
            <w:r>
              <w:rPr>
                <w:sz w:val="20"/>
              </w:rPr>
              <w:t>4:10-6:15</w:t>
            </w:r>
          </w:p>
        </w:tc>
        <w:tc>
          <w:tcPr>
            <w:tcW w:type="dxa" w:w="5616"/>
          </w:tcPr>
          <w:p>
            <w:pPr>
              <w:spacing w:before="60" w:after="60"/>
            </w:pPr>
            <w:r/>
            <w:r>
              <w:rPr>
                <w:sz w:val="20"/>
              </w:rPr>
              <w:t>MOVE TWO — MATCH JUDGMENT TO DESTINATION PROBLEMS</w:t>
            </w:r>
          </w:p>
        </w:tc>
        <w:tc>
          <w:tcPr>
            <w:tcW w:type="dxa" w:w="2160"/>
          </w:tcPr>
          <w:p>
            <w:pPr>
              <w:spacing w:before="60" w:after="60"/>
            </w:pPr>
            <w:r/>
            <w:r>
              <w:rPr>
                <w:sz w:val="20"/>
              </w:rPr>
              <w:t>7, 8</w:t>
            </w:r>
          </w:p>
        </w:tc>
      </w:tr>
      <w:tr>
        <w:tc>
          <w:tcPr>
            <w:tcW w:type="dxa" w:w="1728"/>
          </w:tcPr>
          <w:p>
            <w:pPr>
              <w:spacing w:before="60" w:after="60"/>
            </w:pPr>
            <w:r/>
            <w:r>
              <w:rPr>
                <w:sz w:val="20"/>
              </w:rPr>
              <w:t>6:15-8:30</w:t>
            </w:r>
          </w:p>
        </w:tc>
        <w:tc>
          <w:tcPr>
            <w:tcW w:type="dxa" w:w="5616"/>
          </w:tcPr>
          <w:p>
            <w:pPr>
              <w:spacing w:before="60" w:after="60"/>
            </w:pPr>
            <w:r/>
            <w:r>
              <w:rPr>
                <w:sz w:val="20"/>
              </w:rPr>
              <w:t>MOVE THREE — BUILD BRIDGE EVIDENCE AND A LEARNING PLAN</w:t>
            </w:r>
          </w:p>
        </w:tc>
        <w:tc>
          <w:tcPr>
            <w:tcW w:type="dxa" w:w="2160"/>
          </w:tcPr>
          <w:p>
            <w:pPr>
              <w:spacing w:before="60" w:after="60"/>
            </w:pPr>
            <w:r/>
            <w:r>
              <w:rPr>
                <w:sz w:val="20"/>
              </w:rPr>
              <w:t>9</w:t>
            </w:r>
          </w:p>
        </w:tc>
      </w:tr>
      <w:tr>
        <w:tc>
          <w:tcPr>
            <w:tcW w:type="dxa" w:w="1728"/>
          </w:tcPr>
          <w:p>
            <w:pPr>
              <w:spacing w:before="60" w:after="60"/>
            </w:pPr>
            <w:r/>
            <w:r>
              <w:rPr>
                <w:sz w:val="20"/>
              </w:rPr>
              <w:t>8:30-9:30</w:t>
            </w:r>
          </w:p>
        </w:tc>
        <w:tc>
          <w:tcPr>
            <w:tcW w:type="dxa" w:w="5616"/>
          </w:tcPr>
          <w:p>
            <w:pPr>
              <w:spacing w:before="60" w:after="60"/>
            </w:pPr>
            <w:r/>
            <w:r>
              <w:rPr>
                <w:sz w:val="20"/>
              </w:rPr>
              <w:t>THE THREE COLUMNS</w:t>
            </w:r>
          </w:p>
        </w:tc>
        <w:tc>
          <w:tcPr>
            <w:tcW w:type="dxa" w:w="2160"/>
          </w:tcPr>
          <w:p>
            <w:pPr>
              <w:spacing w:before="60" w:after="60"/>
            </w:pPr>
            <w:r/>
            <w:r>
              <w:rPr>
                <w:sz w:val="20"/>
              </w:rPr>
              <w:t>10</w:t>
            </w:r>
          </w:p>
        </w:tc>
      </w:tr>
      <w:tr>
        <w:tc>
          <w:tcPr>
            <w:tcW w:type="dxa" w:w="1728"/>
          </w:tcPr>
          <w:p>
            <w:pPr>
              <w:spacing w:before="60" w:after="60"/>
            </w:pPr>
            <w:r/>
            <w:r>
              <w:rPr>
                <w:sz w:val="20"/>
              </w:rPr>
              <w:t>9:30-10:05</w:t>
            </w:r>
          </w:p>
        </w:tc>
        <w:tc>
          <w:tcPr>
            <w:tcW w:type="dxa" w:w="5616"/>
          </w:tcPr>
          <w:p>
            <w:pPr>
              <w:spacing w:before="60" w:after="60"/>
            </w:pPr>
            <w:r/>
            <w:r>
              <w:rPr>
                <w:sz w:val="20"/>
              </w:rPr>
              <w:t>PRIMARY CTA</w:t>
            </w:r>
          </w:p>
        </w:tc>
        <w:tc>
          <w:tcPr>
            <w:tcW w:type="dxa" w:w="2160"/>
          </w:tcPr>
          <w:p>
            <w:pPr>
              <w:spacing w:before="60" w:after="60"/>
            </w:pPr>
            <w:r/>
            <w:r>
              <w:rPr>
                <w:sz w:val="20"/>
              </w:rPr>
              <w:t>11</w:t>
            </w:r>
          </w:p>
        </w:tc>
      </w:tr>
      <w:tr>
        <w:tc>
          <w:tcPr>
            <w:tcW w:type="dxa" w:w="1728"/>
          </w:tcPr>
          <w:p>
            <w:pPr>
              <w:spacing w:before="60" w:after="60"/>
            </w:pPr>
            <w:r/>
            <w:r>
              <w:rPr>
                <w:sz w:val="20"/>
              </w:rPr>
              <w:t>10:05-10:25</w:t>
            </w:r>
          </w:p>
        </w:tc>
        <w:tc>
          <w:tcPr>
            <w:tcW w:type="dxa" w:w="5616"/>
          </w:tcPr>
          <w:p>
            <w:pPr>
              <w:spacing w:before="60" w:after="60"/>
            </w:pPr>
            <w:r/>
            <w:r>
              <w:rPr>
                <w:sz w:val="20"/>
              </w:rPr>
              <w:t>WATCH NEXT</w:t>
            </w:r>
          </w:p>
        </w:tc>
        <w:tc>
          <w:tcPr>
            <w:tcW w:type="dxa" w:w="2160"/>
          </w:tcPr>
          <w:p>
            <w:pPr>
              <w:spacing w:before="60" w:after="60"/>
            </w:pPr>
            <w:r/>
            <w:r>
              <w:rPr>
                <w:sz w:val="20"/>
              </w:rPr>
              <w:t>12</w:t>
            </w:r>
          </w:p>
        </w:tc>
      </w:tr>
    </w:tbl>
    <w:p>
      <w:pPr>
        <w:spacing w:before="0" w:after="120" w:line="300" w:lineRule="auto"/>
      </w:pPr>
      <w:r>
        <w:rPr>
          <w:b w:val="0"/>
          <w:i w:val="0"/>
          <w:sz w:val="12"/>
        </w:rPr>
      </w:r>
    </w:p>
    <w:p>
      <w:pPr>
        <w:spacing w:before="440" w:after="200" w:line="300" w:lineRule="auto"/>
      </w:pPr>
      <w:r>
        <w:rPr>
          <w:b/>
          <w:i w:val="0"/>
          <w:color w:val="0F2346"/>
          <w:sz w:val="32"/>
        </w:rPr>
        <w:t>4. Full recording script</w:t>
      </w:r>
    </w:p>
    <w:p>
      <w:pPr>
        <w:spacing w:before="0" w:after="240" w:line="300" w:lineRule="auto"/>
      </w:pPr>
      <w:r>
        <w:rPr>
          <w:b w:val="0"/>
          <w:i/>
          <w:color w:val="5A6B82"/>
          <w:sz w:val="20"/>
        </w:rPr>
        <w:t>Target 1,450-1,700 spoken words. This draft is 1607.</w:t>
      </w:r>
    </w:p>
    <w:p>
      <w:pPr>
        <w:spacing w:before="320" w:after="160" w:line="264" w:lineRule="auto"/>
        <w:shd w:val="clear" w:fill="F3F0E8"/>
      </w:pPr>
      <w:r>
        <w:rPr>
          <w:b/>
          <w:i w:val="0"/>
          <w:caps/>
          <w:color w:val="8A6D1E"/>
          <w:sz w:val="21"/>
        </w:rPr>
        <w:t>0:00-0:30 | HOOK + PROMISE</w:t>
      </w:r>
    </w:p>
    <w:p>
      <w:pPr>
        <w:spacing w:before="0" w:after="200" w:line="336" w:lineRule="auto"/>
      </w:pPr>
      <w:r>
        <w:rPr>
          <w:b w:val="0"/>
          <w:i w:val="0"/>
          <w:color w:val="1A1A1A"/>
          <w:sz w:val="23"/>
        </w:rPr>
        <w:t>Changing industries does not make you entry-level at everything. It makes you new to a context.</w:t>
      </w:r>
    </w:p>
    <w:p>
      <w:pPr>
        <w:spacing w:before="0" w:after="200" w:line="336" w:lineRule="auto"/>
      </w:pPr>
      <w:r>
        <w:rPr>
          <w:b w:val="0"/>
          <w:i w:val="0"/>
          <w:color w:val="1A1A1A"/>
          <w:sz w:val="23"/>
        </w:rPr>
        <w:t>Those are two different problems with two different solutions, and most of the advice you will be given collapses them into one. Either you are told to start over, or you are told that everything you have done will carry across on its own. Neither prepares you for the conversation you are actually going to have.</w:t>
      </w:r>
    </w:p>
    <w:p>
      <w:pPr>
        <w:spacing w:before="0" w:after="200" w:line="336" w:lineRule="auto"/>
      </w:pPr>
      <w:r>
        <w:rPr>
          <w:b w:val="0"/>
          <w:i w:val="0"/>
          <w:color w:val="1A1A1A"/>
          <w:sz w:val="23"/>
        </w:rPr>
        <w:t>So over the next ten minutes or so, I want to help you sort your own experience into three piles: what travels with you, what changes when the context changes, and what you will genuinely have to earn in the new field. Then how to show the first pile to someone who has no particular reason yet to believe you.</w:t>
      </w:r>
    </w:p>
    <w:p>
      <w:pPr>
        <w:spacing w:before="320" w:after="160" w:line="264" w:lineRule="auto"/>
        <w:shd w:val="clear" w:fill="F3F0E8"/>
      </w:pPr>
      <w:r>
        <w:rPr>
          <w:b/>
          <w:i w:val="0"/>
          <w:caps/>
          <w:color w:val="8A6D1E"/>
          <w:sz w:val="21"/>
        </w:rPr>
        <w:t>0:30-1:15 | EARLY PROOF + INTRODUCTION</w:t>
      </w:r>
    </w:p>
    <w:p>
      <w:pPr>
        <w:spacing w:before="0" w:after="200" w:line="336" w:lineRule="auto"/>
      </w:pPr>
      <w:r>
        <w:rPr>
          <w:b w:val="0"/>
          <w:i w:val="0"/>
          <w:color w:val="1A1A1A"/>
          <w:sz w:val="23"/>
        </w:rPr>
        <w:t>I have made this move more than once. Over nearly two decades I have worked across eight industries and sectors, including at Deloitte, EY and PwC, and moved from Consultant to Head of Function.</w:t>
      </w:r>
    </w:p>
    <w:p>
      <w:pPr>
        <w:spacing w:before="0" w:after="200" w:line="336" w:lineRule="auto"/>
      </w:pPr>
      <w:r>
        <w:rPr>
          <w:b w:val="0"/>
          <w:i w:val="0"/>
          <w:color w:val="1A1A1A"/>
          <w:sz w:val="23"/>
        </w:rPr>
        <w:t>What I want you to take from that is not that it was smooth, because it was not. Some of what I brought with me was useful immediately. Some of it was no help at all in the room I had just walked into. When I moved toward cybersecurity and privacy, I prepared for the CISM exam and did not pass the first time. I mention that because it is the honest shape of this problem. Judgment travels. Context does not travel for free.</w:t>
      </w:r>
    </w:p>
    <w:p>
      <w:pPr>
        <w:spacing w:before="0" w:after="200" w:line="336" w:lineRule="auto"/>
      </w:pPr>
      <w:r>
        <w:rPr>
          <w:b w:val="0"/>
          <w:i w:val="0"/>
          <w:color w:val="1A1A1A"/>
          <w:sz w:val="23"/>
        </w:rPr>
        <w:t>I am Temidayo Afonja. I help experienced professionals work out what they can carry across roles, functions, employers and industries, so that the next move does not feel like starting from zero.</w:t>
      </w:r>
    </w:p>
    <w:p>
      <w:pPr>
        <w:spacing w:before="320" w:after="160" w:line="264" w:lineRule="auto"/>
        <w:shd w:val="clear" w:fill="F3F0E8"/>
      </w:pPr>
      <w:r>
        <w:rPr>
          <w:b/>
          <w:i w:val="0"/>
          <w:caps/>
          <w:color w:val="8A6D1E"/>
          <w:sz w:val="21"/>
        </w:rPr>
        <w:t>1:15-2:15 | WHAT ACTUALLY CHANGES</w:t>
      </w:r>
    </w:p>
    <w:p>
      <w:pPr>
        <w:spacing w:before="0" w:after="200" w:line="336" w:lineRule="auto"/>
      </w:pPr>
      <w:r>
        <w:rPr>
          <w:b w:val="0"/>
          <w:i w:val="0"/>
          <w:color w:val="1A1A1A"/>
          <w:sz w:val="23"/>
        </w:rPr>
        <w:t>Let me be precise about what changes when you move industries, because “everything” is not true and neither is “nothing.”</w:t>
      </w:r>
    </w:p>
    <w:p>
      <w:pPr>
        <w:spacing w:before="0" w:after="200" w:line="336" w:lineRule="auto"/>
      </w:pPr>
      <w:r>
        <w:rPr>
          <w:b w:val="0"/>
          <w:i w:val="0"/>
          <w:color w:val="1A1A1A"/>
          <w:sz w:val="23"/>
        </w:rPr>
        <w:t>The language changes. The same idea goes by a different name, and using the old name marks you as an outsider faster than any gap on your CV. The stakeholders change: who has to be convinced, who can quietly stop something, who is actually accountable when it goes wrong.</w:t>
      </w:r>
    </w:p>
    <w:p>
      <w:pPr>
        <w:spacing w:before="0" w:after="200" w:line="336" w:lineRule="auto"/>
      </w:pPr>
      <w:r>
        <w:rPr>
          <w:b w:val="0"/>
          <w:i w:val="0"/>
          <w:color w:val="1A1A1A"/>
          <w:sz w:val="23"/>
        </w:rPr>
        <w:t>The incentives change, and this is the one people underestimate. In one industry the pressure is quarterly. In another it is a regulator, or a safety record, or a clinical outcome. That pressure shapes every decision being made around you, including the ones nobody explains to you.</w:t>
      </w:r>
    </w:p>
    <w:p>
      <w:pPr>
        <w:spacing w:before="0" w:after="200" w:line="336" w:lineRule="auto"/>
      </w:pPr>
      <w:r>
        <w:rPr>
          <w:b w:val="0"/>
          <w:i w:val="0"/>
          <w:color w:val="1A1A1A"/>
          <w:sz w:val="23"/>
        </w:rPr>
        <w:t>The regulation changes. The operating rhythm changes — what counts as a fast decision, what a normal cycle looks like, when the year actually begins. And the risks change, so what everyone is quietly worried about is different, and until you know what it is you will keep proposing sensible things that land badly.</w:t>
      </w:r>
    </w:p>
    <w:p>
      <w:pPr>
        <w:spacing w:before="0" w:after="200" w:line="336" w:lineRule="auto"/>
      </w:pPr>
      <w:r>
        <w:rPr>
          <w:b w:val="0"/>
          <w:i w:val="0"/>
          <w:color w:val="1A1A1A"/>
          <w:sz w:val="23"/>
        </w:rPr>
        <w:t>None of that is your competence. All of it is context. And context is learnable, which makes it a far smaller problem than the one you thought you had.</w:t>
      </w:r>
    </w:p>
    <w:p>
      <w:pPr>
        <w:spacing w:before="320" w:after="160" w:line="264" w:lineRule="auto"/>
        <w:shd w:val="clear" w:fill="F3F0E8"/>
      </w:pPr>
      <w:r>
        <w:rPr>
          <w:b/>
          <w:i w:val="0"/>
          <w:caps/>
          <w:color w:val="8A6D1E"/>
          <w:sz w:val="21"/>
        </w:rPr>
        <w:t>2:15-4:10 | MOVE ONE — SEPARATE CAPABILITY, CONTEXT AND CREDENTIAL</w:t>
      </w:r>
    </w:p>
    <w:p>
      <w:pPr>
        <w:spacing w:before="0" w:after="200" w:line="336" w:lineRule="auto"/>
      </w:pPr>
      <w:r>
        <w:rPr>
          <w:b w:val="0"/>
          <w:i w:val="0"/>
          <w:color w:val="1A1A1A"/>
          <w:sz w:val="23"/>
        </w:rPr>
        <w:t>That brings me to the first move, which is to stop carrying your experience around as one undifferentiated lump. Separate it into capability, context and credential.</w:t>
      </w:r>
    </w:p>
    <w:p>
      <w:pPr>
        <w:spacing w:before="0" w:after="200" w:line="336" w:lineRule="auto"/>
      </w:pPr>
      <w:r>
        <w:rPr>
          <w:b w:val="0"/>
          <w:i w:val="0"/>
          <w:color w:val="1A1A1A"/>
          <w:sz w:val="23"/>
        </w:rPr>
        <w:t>Capability is judgment or ability that stays useful when the setting changes. Finding the real decision in a room full of stated positions. Structuring a problem nobody has framed yet. Knowing when a number is too clean to be true. Holding a position when the room would rather you did not. Those do not belong to an industry.</w:t>
      </w:r>
    </w:p>
    <w:p>
      <w:pPr>
        <w:spacing w:before="0" w:after="200" w:line="336" w:lineRule="auto"/>
      </w:pPr>
      <w:r>
        <w:rPr>
          <w:b w:val="0"/>
          <w:i w:val="0"/>
          <w:color w:val="1A1A1A"/>
          <w:sz w:val="23"/>
        </w:rPr>
        <w:t>Context is what the new field knows and you do not — its language, its stakeholders, its incentives, its regulation, its rhythm and its risks. From the inside it feels like a competence gap. It is an information gap, and it closes faster than most people expect when someone is deliberate about closing it.</w:t>
      </w:r>
    </w:p>
    <w:p>
      <w:pPr>
        <w:spacing w:before="0" w:after="200" w:line="336" w:lineRule="auto"/>
      </w:pPr>
      <w:r>
        <w:rPr>
          <w:b w:val="0"/>
          <w:i w:val="0"/>
          <w:color w:val="1A1A1A"/>
          <w:sz w:val="23"/>
        </w:rPr>
        <w:t>Credential is the formal evidence or permission the destination may require. Sometimes it is genuinely required and there is no way around it, so you plan for it. Sometimes it is not required but it shortens the conversation, which is a real benefit worth weighing. And sometimes it is neither, and people pursue it anyway because it feels like progress when the rest of the move feels stuck. That is an understandable thing to do and an expensive one.</w:t>
      </w:r>
    </w:p>
    <w:p>
      <w:pPr>
        <w:spacing w:before="0" w:after="200" w:line="336" w:lineRule="auto"/>
      </w:pPr>
      <w:r>
        <w:rPr>
          <w:b w:val="0"/>
          <w:i w:val="0"/>
          <w:color w:val="1A1A1A"/>
          <w:sz w:val="23"/>
        </w:rPr>
        <w:t>The reason to separate the three is that they have different remedies. A certificate will not fix a context gap. Enthusiasm will not fix a missing licence. And you do not need to rebuild a capability you already have simply because the room is unfamiliar.</w:t>
      </w:r>
    </w:p>
    <w:p>
      <w:pPr>
        <w:spacing w:before="320" w:after="160" w:line="264" w:lineRule="auto"/>
        <w:shd w:val="clear" w:fill="F3F0E8"/>
      </w:pPr>
      <w:r>
        <w:rPr>
          <w:b/>
          <w:i w:val="0"/>
          <w:caps/>
          <w:color w:val="8A6D1E"/>
          <w:sz w:val="21"/>
        </w:rPr>
        <w:t>4:10-6:15 | MOVE TWO — MATCH JUDGMENT TO DESTINATION PROBLEMS</w:t>
      </w:r>
    </w:p>
    <w:p>
      <w:pPr>
        <w:spacing w:before="0" w:after="200" w:line="336" w:lineRule="auto"/>
      </w:pPr>
      <w:r>
        <w:rPr>
          <w:b w:val="0"/>
          <w:i w:val="0"/>
          <w:color w:val="1A1A1A"/>
          <w:sz w:val="23"/>
        </w:rPr>
        <w:t>The second move is to match the judgment you already have to the problems the destination industry actually needs solved.</w:t>
      </w:r>
    </w:p>
    <w:p>
      <w:pPr>
        <w:spacing w:before="0" w:after="200" w:line="336" w:lineRule="auto"/>
      </w:pPr>
      <w:r>
        <w:rPr>
          <w:b w:val="0"/>
          <w:i w:val="0"/>
          <w:color w:val="1A1A1A"/>
          <w:sz w:val="23"/>
        </w:rPr>
        <w:t>This is where most industry-change pitches come apart, because people reach for adjectives. Adaptable. Strategic. A fast learner. Those describe how you would like to be seen. They give the person across from you nothing to evaluate, and experienced people stop hearing them entirely.</w:t>
      </w:r>
    </w:p>
    <w:p>
      <w:pPr>
        <w:spacing w:before="0" w:after="200" w:line="336" w:lineRule="auto"/>
      </w:pPr>
      <w:r>
        <w:rPr>
          <w:b w:val="0"/>
          <w:i w:val="0"/>
          <w:color w:val="1A1A1A"/>
          <w:sz w:val="23"/>
        </w:rPr>
        <w:t>Work in the other direction. Start with the destination rather than with your CV. What does that industry keep failing to solve? What is expensive there, or slow, or contested? You can find a surprising amount of that in trade press, earnings calls, regulator commentary, and in how job descriptions read when a team is frustrated.</w:t>
      </w:r>
    </w:p>
    <w:p>
      <w:pPr>
        <w:spacing w:before="0" w:after="200" w:line="336" w:lineRule="auto"/>
      </w:pPr>
      <w:r>
        <w:rPr>
          <w:b w:val="0"/>
          <w:i w:val="0"/>
          <w:color w:val="1A1A1A"/>
          <w:sz w:val="23"/>
        </w:rPr>
        <w:t>Then come back to your own history and ask what you already know how to do about problems shaped like that. Which of those decisions have you made before, under comparable pressure? Which patterns do you recognise early because you have watched them play out? Which stakeholders have you had to align when they wanted different things? Which constraints have you worked inside — a budget, a regulator, a safety requirement, a board that had already decided?</w:t>
      </w:r>
    </w:p>
    <w:p>
      <w:pPr>
        <w:spacing w:before="0" w:after="200" w:line="336" w:lineRule="auto"/>
      </w:pPr>
      <w:r>
        <w:rPr>
          <w:b w:val="0"/>
          <w:i w:val="0"/>
          <w:color w:val="1A1A1A"/>
          <w:sz w:val="23"/>
        </w:rPr>
        <w:t>The unit that transfers is not your job title and it is not your task list. It is judgment, with evidence attached.</w:t>
      </w:r>
    </w:p>
    <w:p>
      <w:pPr>
        <w:spacing w:before="0" w:after="200" w:line="336" w:lineRule="auto"/>
      </w:pPr>
      <w:r>
        <w:rPr>
          <w:b w:val="0"/>
          <w:i w:val="0"/>
          <w:color w:val="1A1A1A"/>
          <w:sz w:val="23"/>
        </w:rPr>
        <w:t>Be equally clear about where that judgment still needs translation. Saying you have managed a regulated change programme is transferable. Saying you know how their regulator behaves is not, unless you do. Claiming the second when you only have the first is the quickest way to lose a room you had already won.</w:t>
      </w:r>
    </w:p>
    <w:p>
      <w:pPr>
        <w:spacing w:before="320" w:after="160" w:line="264" w:lineRule="auto"/>
        <w:shd w:val="clear" w:fill="F3F0E8"/>
      </w:pPr>
      <w:r>
        <w:rPr>
          <w:b/>
          <w:i w:val="0"/>
          <w:caps/>
          <w:color w:val="8A6D1E"/>
          <w:sz w:val="21"/>
        </w:rPr>
        <w:t>6:15-8:30 | MOVE THREE — BUILD BRIDGE EVIDENCE AND A LEARNING PLAN</w:t>
      </w:r>
    </w:p>
    <w:p>
      <w:pPr>
        <w:spacing w:before="0" w:after="200" w:line="336" w:lineRule="auto"/>
      </w:pPr>
      <w:r>
        <w:rPr>
          <w:b w:val="0"/>
          <w:i w:val="0"/>
          <w:color w:val="1A1A1A"/>
          <w:sz w:val="23"/>
        </w:rPr>
        <w:t>The third move is to close the credibility gap using evidence you are actually permitted to have.</w:t>
      </w:r>
    </w:p>
    <w:p>
      <w:pPr>
        <w:spacing w:before="0" w:after="200" w:line="336" w:lineRule="auto"/>
      </w:pPr>
      <w:r>
        <w:rPr>
          <w:b w:val="0"/>
          <w:i w:val="0"/>
          <w:color w:val="1A1A1A"/>
          <w:sz w:val="23"/>
        </w:rPr>
        <w:t>The person considering you is not being unreasonable. They are being asked to take a risk on somebody who has not done this in their world. Your job is to make that risk smaller and more specific, not to argue that it is not there.</w:t>
      </w:r>
    </w:p>
    <w:p>
      <w:pPr>
        <w:spacing w:before="0" w:after="200" w:line="336" w:lineRule="auto"/>
      </w:pPr>
      <w:r>
        <w:rPr>
          <w:b w:val="0"/>
          <w:i w:val="0"/>
          <w:color w:val="1A1A1A"/>
          <w:sz w:val="23"/>
        </w:rPr>
        <w:t>A relevant project or assignment counts, even if it sat inside your old industry, and especially if it touched the same kind of problem. Cross-functional work counts, because it shows you can operate usefully in a room where you are not the expert.</w:t>
      </w:r>
    </w:p>
    <w:p>
      <w:pPr>
        <w:spacing w:before="0" w:after="200" w:line="336" w:lineRule="auto"/>
      </w:pPr>
      <w:r>
        <w:rPr>
          <w:b w:val="0"/>
          <w:i w:val="0"/>
          <w:color w:val="1A1A1A"/>
          <w:sz w:val="23"/>
        </w:rPr>
        <w:t>Research counts once you have turned it into a point of view. Not “I have read about the sector,” but “here is what I think is happening in it, here is what I would want to check first, and here is where I might be wrong.” That is a different quality of statement, and the people you are talking to can tell the difference immediately.</w:t>
      </w:r>
    </w:p>
    <w:p>
      <w:pPr>
        <w:spacing w:before="0" w:after="200" w:line="336" w:lineRule="auto"/>
      </w:pPr>
      <w:r>
        <w:rPr>
          <w:b w:val="0"/>
          <w:i w:val="0"/>
          <w:color w:val="1A1A1A"/>
          <w:sz w:val="23"/>
        </w:rPr>
        <w:t>A case study or work sample built from non-confidential information counts. A course or credential counts where it is genuinely relevant, and is dead weight where it is not. Conversations with practitioners count, and they do two jobs at once: they give you the language, and they tell you which of your assumptions are wrong before you say them out loud in an interview.</w:t>
      </w:r>
    </w:p>
    <w:p>
      <w:pPr>
        <w:spacing w:before="0" w:after="200" w:line="336" w:lineRule="auto"/>
      </w:pPr>
      <w:r>
        <w:rPr>
          <w:b w:val="0"/>
          <w:i w:val="0"/>
          <w:color w:val="1A1A1A"/>
          <w:sz w:val="23"/>
        </w:rPr>
        <w:t>A clear first-ninety-days learning plan counts for more than most people expect. It shows you understand there is something here to learn, which is the opposite of the overconfidence they are quietly screening for.</w:t>
      </w:r>
    </w:p>
    <w:p>
      <w:pPr>
        <w:spacing w:before="0" w:after="200" w:line="336" w:lineRule="auto"/>
      </w:pPr>
      <w:r>
        <w:rPr>
          <w:b w:val="0"/>
          <w:i w:val="0"/>
          <w:color w:val="1A1A1A"/>
          <w:sz w:val="23"/>
        </w:rPr>
        <w:t>What none of this permits is inventing experience or implying more familiarity than you have. The gap is real. You are making it smaller and legible. You are not pretending it is not there.</w:t>
      </w:r>
    </w:p>
    <w:p>
      <w:pPr>
        <w:spacing w:before="320" w:after="160" w:line="264" w:lineRule="auto"/>
        <w:shd w:val="clear" w:fill="F3F0E8"/>
      </w:pPr>
      <w:r>
        <w:rPr>
          <w:b/>
          <w:i w:val="0"/>
          <w:caps/>
          <w:color w:val="8A6D1E"/>
          <w:sz w:val="21"/>
        </w:rPr>
        <w:t>8:30-9:30 | THE THREE COLUMNS</w:t>
      </w:r>
    </w:p>
    <w:p>
      <w:pPr>
        <w:spacing w:before="0" w:after="200" w:line="336" w:lineRule="auto"/>
      </w:pPr>
      <w:r>
        <w:rPr>
          <w:b w:val="0"/>
          <w:i w:val="0"/>
          <w:color w:val="1A1A1A"/>
          <w:sz w:val="23"/>
        </w:rPr>
        <w:t>So here is the exercise, and it fits on one page. Three columns.</w:t>
      </w:r>
    </w:p>
    <w:p>
      <w:pPr>
        <w:spacing w:before="0" w:after="200" w:line="336" w:lineRule="auto"/>
      </w:pPr>
      <w:r>
        <w:rPr>
          <w:b w:val="0"/>
          <w:i w:val="0"/>
          <w:color w:val="1A1A1A"/>
          <w:sz w:val="23"/>
        </w:rPr>
        <w:t>What travels: the judgment, the decisions, the patterns and the ways of working that stay useful when the setting changes.</w:t>
      </w:r>
    </w:p>
    <w:p>
      <w:pPr>
        <w:spacing w:before="0" w:after="200" w:line="336" w:lineRule="auto"/>
      </w:pPr>
      <w:r>
        <w:rPr>
          <w:b w:val="0"/>
          <w:i w:val="0"/>
          <w:color w:val="1A1A1A"/>
          <w:sz w:val="23"/>
        </w:rPr>
        <w:t>What changes: the language, the stakeholders, the incentives, the regulation, the rhythm and the risks you will have to learn.</w:t>
      </w:r>
    </w:p>
    <w:p>
      <w:pPr>
        <w:spacing w:before="0" w:after="200" w:line="336" w:lineRule="auto"/>
      </w:pPr>
      <w:r>
        <w:rPr>
          <w:b w:val="0"/>
          <w:i w:val="0"/>
          <w:color w:val="1A1A1A"/>
          <w:sz w:val="23"/>
        </w:rPr>
        <w:t>What I must earn: the credential, the licence or the specific exposure that no amount of adjacent experience substitutes for.</w:t>
      </w:r>
    </w:p>
    <w:p>
      <w:pPr>
        <w:spacing w:before="0" w:after="200" w:line="336" w:lineRule="auto"/>
      </w:pPr>
      <w:r>
        <w:rPr>
          <w:b w:val="0"/>
          <w:i w:val="0"/>
          <w:color w:val="1A1A1A"/>
          <w:sz w:val="23"/>
        </w:rPr>
        <w:t>Most people find the first column is longer than they feared and the third is shorter than they assumed. That is the reason to write it down instead of carrying it around as a feeling.</w:t>
      </w:r>
    </w:p>
    <w:p>
      <w:pPr>
        <w:spacing w:before="0" w:after="200" w:line="336" w:lineRule="auto"/>
      </w:pPr>
      <w:r>
        <w:rPr>
          <w:b w:val="0"/>
          <w:i w:val="0"/>
          <w:color w:val="1A1A1A"/>
          <w:sz w:val="23"/>
        </w:rPr>
        <w:t>Then build one sentence out of it, in your own words. Something close to: I am new to this industry, but I am not new to this problem. Here is the evidence. Here is what I am learning right now.</w:t>
      </w:r>
    </w:p>
    <w:p>
      <w:pPr>
        <w:spacing w:before="0" w:after="200" w:line="336" w:lineRule="auto"/>
      </w:pPr>
      <w:r>
        <w:rPr>
          <w:b w:val="0"/>
          <w:i w:val="0"/>
          <w:color w:val="1A1A1A"/>
          <w:sz w:val="23"/>
        </w:rPr>
        <w:t>That sentence declines the false modesty of starting over without pretending the context comes free. And it gives the other person something they can actually check, which is what they wanted from the beginning.</w:t>
      </w:r>
    </w:p>
    <w:p>
      <w:pPr>
        <w:spacing w:before="320" w:after="160" w:line="264" w:lineRule="auto"/>
        <w:shd w:val="clear" w:fill="F3F0E8"/>
      </w:pPr>
      <w:r>
        <w:rPr>
          <w:b/>
          <w:i w:val="0"/>
          <w:caps/>
          <w:color w:val="8A6D1E"/>
          <w:sz w:val="21"/>
        </w:rPr>
        <w:t>9:30-10:05 | PRIMARY CTA</w:t>
      </w:r>
    </w:p>
    <w:p>
      <w:pPr>
        <w:spacing w:before="0" w:after="200" w:line="336" w:lineRule="auto"/>
      </w:pPr>
      <w:r>
        <w:rPr>
          <w:b w:val="0"/>
          <w:i w:val="0"/>
          <w:color w:val="1A1A1A"/>
          <w:sz w:val="23"/>
        </w:rPr>
        <w:t>If you want a structured way to work through this, the Capability Formation Field Kit is built for exactly it. It helps you look at what your work has formed in you, how portable that is, and where you still need development or evidence. It will not tell you which industry is hiring, and it does not replace researching the field you are moving toward — that part stays yours. You will find it at temidayoafonja.com/fieldkit.</w:t>
      </w:r>
    </w:p>
    <w:p>
      <w:pPr>
        <w:spacing w:before="320" w:after="160" w:line="264" w:lineRule="auto"/>
        <w:shd w:val="clear" w:fill="F3F0E8"/>
      </w:pPr>
      <w:r>
        <w:rPr>
          <w:b/>
          <w:i w:val="0"/>
          <w:caps/>
          <w:color w:val="8A6D1E"/>
          <w:sz w:val="21"/>
        </w:rPr>
        <w:t>10:05-10:25 | WATCH NEXT</w:t>
      </w:r>
    </w:p>
    <w:p>
      <w:pPr>
        <w:spacing w:before="0" w:after="200" w:line="336" w:lineRule="auto"/>
      </w:pPr>
      <w:r>
        <w:rPr>
          <w:b w:val="0"/>
          <w:i w:val="0"/>
          <w:color w:val="1A1A1A"/>
          <w:sz w:val="23"/>
        </w:rPr>
        <w:t>And if part of what is pushing this move is that your current situation feels less stable than it did a year ago, watch what to do before a layoff happens, next.</w:t>
      </w:r>
    </w:p>
    <w:p>
      <w:pPr>
        <w:spacing w:before="440" w:after="200" w:line="300" w:lineRule="auto"/>
      </w:pPr>
      <w:r>
        <w:rPr>
          <w:b/>
          <w:i w:val="0"/>
          <w:color w:val="0F2346"/>
          <w:sz w:val="32"/>
        </w:rPr>
        <w:t>5. Slide deck content and placement</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576"/>
          </w:tcPr>
          <w:p>
            <w:pPr>
              <w:spacing w:before="60" w:after="60"/>
            </w:pPr>
            <w:r/>
            <w:r>
              <w:rPr>
                <w:b/>
                <w:color w:val="0F2346"/>
                <w:sz w:val="20"/>
              </w:rPr>
              <w:t>#</w:t>
            </w:r>
          </w:p>
        </w:tc>
        <w:tc>
          <w:tcPr>
            <w:tcW w:type="dxa" w:w="2160"/>
          </w:tcPr>
          <w:p>
            <w:pPr>
              <w:spacing w:before="60" w:after="60"/>
            </w:pPr>
            <w:r/>
            <w:r>
              <w:rPr>
                <w:b/>
                <w:color w:val="0F2346"/>
                <w:sz w:val="20"/>
              </w:rPr>
              <w:t>Slide</w:t>
            </w:r>
          </w:p>
        </w:tc>
        <w:tc>
          <w:tcPr>
            <w:tcW w:type="dxa" w:w="864"/>
          </w:tcPr>
          <w:p>
            <w:pPr>
              <w:spacing w:before="60" w:after="60"/>
            </w:pPr>
            <w:r/>
            <w:r>
              <w:rPr>
                <w:b/>
                <w:color w:val="0F2346"/>
                <w:sz w:val="20"/>
              </w:rPr>
              <w:t>States</w:t>
            </w:r>
          </w:p>
        </w:tc>
        <w:tc>
          <w:tcPr>
            <w:tcW w:type="dxa" w:w="5904"/>
          </w:tcPr>
          <w:p>
            <w:pPr>
              <w:spacing w:before="60" w:after="60"/>
            </w:pPr>
            <w:r/>
            <w:r>
              <w:rPr>
                <w:b/>
                <w:color w:val="0F2346"/>
                <w:sz w:val="20"/>
              </w:rPr>
              <w:t>Copy on screen, verbatim</w:t>
            </w:r>
          </w:p>
        </w:tc>
      </w:tr>
      <w:tr>
        <w:tc>
          <w:tcPr>
            <w:tcW w:type="dxa" w:w="576"/>
          </w:tcPr>
          <w:p>
            <w:pPr>
              <w:spacing w:before="60" w:after="60"/>
            </w:pPr>
            <w:r/>
            <w:r>
              <w:rPr>
                <w:sz w:val="20"/>
              </w:rPr>
              <w:t>1</w:t>
            </w:r>
          </w:p>
        </w:tc>
        <w:tc>
          <w:tcPr>
            <w:tcW w:type="dxa" w:w="2160"/>
          </w:tcPr>
          <w:p>
            <w:pPr>
              <w:spacing w:before="60" w:after="60"/>
            </w:pPr>
            <w:r/>
            <w:r>
              <w:rPr>
                <w:sz w:val="20"/>
              </w:rPr>
              <w:t>New to a context</w:t>
            </w:r>
          </w:p>
        </w:tc>
        <w:tc>
          <w:tcPr>
            <w:tcW w:type="dxa" w:w="864"/>
          </w:tcPr>
          <w:p>
            <w:pPr>
              <w:spacing w:before="60" w:after="60"/>
            </w:pPr>
            <w:r/>
            <w:r>
              <w:rPr>
                <w:sz w:val="20"/>
              </w:rPr>
              <w:t>2</w:t>
            </w:r>
          </w:p>
        </w:tc>
        <w:tc>
          <w:tcPr>
            <w:tcW w:type="dxa" w:w="5904"/>
          </w:tcPr>
          <w:p>
            <w:pPr>
              <w:spacing w:before="60" w:after="60"/>
            </w:pPr>
            <w:r/>
            <w:r>
              <w:rPr>
                <w:sz w:val="20"/>
              </w:rPr>
              <w:t>CHANGING INDUSTRIES DOES NOT MAKE YOU ENTRY-LEVEL AT EVERYTHING.  |  IT MAKES YOU NEW TO A CONTEXT.</w:t>
            </w:r>
          </w:p>
        </w:tc>
      </w:tr>
      <w:tr>
        <w:tc>
          <w:tcPr>
            <w:tcW w:type="dxa" w:w="576"/>
          </w:tcPr>
          <w:p>
            <w:pPr>
              <w:spacing w:before="60" w:after="60"/>
            </w:pPr>
            <w:r/>
            <w:r>
              <w:rPr>
                <w:sz w:val="20"/>
              </w:rPr>
              <w:t>2</w:t>
            </w:r>
          </w:p>
        </w:tc>
        <w:tc>
          <w:tcPr>
            <w:tcW w:type="dxa" w:w="2160"/>
          </w:tcPr>
          <w:p>
            <w:pPr>
              <w:spacing w:before="60" w:after="60"/>
            </w:pPr>
            <w:r/>
            <w:r>
              <w:rPr>
                <w:sz w:val="20"/>
              </w:rPr>
              <w:t>What actually changes</w:t>
            </w:r>
          </w:p>
        </w:tc>
        <w:tc>
          <w:tcPr>
            <w:tcW w:type="dxa" w:w="864"/>
          </w:tcPr>
          <w:p>
            <w:pPr>
              <w:spacing w:before="60" w:after="60"/>
            </w:pPr>
            <w:r/>
            <w:r>
              <w:rPr>
                <w:sz w:val="20"/>
              </w:rPr>
              <w:t>2</w:t>
            </w:r>
          </w:p>
        </w:tc>
        <w:tc>
          <w:tcPr>
            <w:tcW w:type="dxa" w:w="5904"/>
          </w:tcPr>
          <w:p>
            <w:pPr>
              <w:spacing w:before="60" w:after="60"/>
            </w:pPr>
            <w:r/>
            <w:r>
              <w:rPr>
                <w:sz w:val="20"/>
              </w:rPr>
              <w:t>WHAT ACTUALLY CHANGES  |  Language  |  Stakeholders  |  Incentives  |  Regulation  |  Operating rhythm  |  Risks  |  NONE OF THAT IS YOUR COMPETENCE.  |  ALL OF IT IS CONTEXT.  |  And context is learnable.</w:t>
            </w:r>
          </w:p>
        </w:tc>
      </w:tr>
      <w:tr>
        <w:tc>
          <w:tcPr>
            <w:tcW w:type="dxa" w:w="576"/>
          </w:tcPr>
          <w:p>
            <w:pPr>
              <w:spacing w:before="60" w:after="60"/>
            </w:pPr>
            <w:r/>
            <w:r>
              <w:rPr>
                <w:sz w:val="20"/>
              </w:rPr>
              <w:t>3</w:t>
            </w:r>
          </w:p>
        </w:tc>
        <w:tc>
          <w:tcPr>
            <w:tcW w:type="dxa" w:w="2160"/>
          </w:tcPr>
          <w:p>
            <w:pPr>
              <w:spacing w:before="60" w:after="60"/>
            </w:pPr>
            <w:r/>
            <w:r>
              <w:rPr>
                <w:sz w:val="20"/>
              </w:rPr>
              <w:t>Capability, context, credential</w:t>
            </w:r>
          </w:p>
        </w:tc>
        <w:tc>
          <w:tcPr>
            <w:tcW w:type="dxa" w:w="864"/>
          </w:tcPr>
          <w:p>
            <w:pPr>
              <w:spacing w:before="60" w:after="60"/>
            </w:pPr>
            <w:r/>
            <w:r>
              <w:rPr>
                <w:sz w:val="20"/>
              </w:rPr>
              <w:t>3</w:t>
            </w:r>
          </w:p>
        </w:tc>
        <w:tc>
          <w:tcPr>
            <w:tcW w:type="dxa" w:w="5904"/>
          </w:tcPr>
          <w:p>
            <w:pPr>
              <w:spacing w:before="60" w:after="60"/>
            </w:pPr>
            <w:r/>
            <w:r>
              <w:rPr>
                <w:sz w:val="20"/>
              </w:rPr>
              <w:t>MOVE ONE  |  1 CAPABILITY — Judgment that stays useful when the setting changes.  |  2 CONTEXT — What the new field knows and you do not — yet.  |  3 CREDENTIAL — Formal evidence or permission the destination requires.</w:t>
            </w:r>
          </w:p>
        </w:tc>
      </w:tr>
      <w:tr>
        <w:tc>
          <w:tcPr>
            <w:tcW w:type="dxa" w:w="576"/>
          </w:tcPr>
          <w:p>
            <w:pPr>
              <w:spacing w:before="60" w:after="60"/>
            </w:pPr>
            <w:r/>
            <w:r>
              <w:rPr>
                <w:sz w:val="20"/>
              </w:rPr>
              <w:t>4</w:t>
            </w:r>
          </w:p>
        </w:tc>
        <w:tc>
          <w:tcPr>
            <w:tcW w:type="dxa" w:w="2160"/>
          </w:tcPr>
          <w:p>
            <w:pPr>
              <w:spacing w:before="60" w:after="60"/>
            </w:pPr>
            <w:r/>
            <w:r>
              <w:rPr>
                <w:sz w:val="20"/>
              </w:rPr>
              <w:t>What travels</w:t>
            </w:r>
          </w:p>
        </w:tc>
        <w:tc>
          <w:tcPr>
            <w:tcW w:type="dxa" w:w="864"/>
          </w:tcPr>
          <w:p>
            <w:pPr>
              <w:spacing w:before="60" w:after="60"/>
            </w:pPr>
            <w:r/>
            <w:r>
              <w:rPr>
                <w:sz w:val="20"/>
              </w:rPr>
              <w:t>2</w:t>
            </w:r>
          </w:p>
        </w:tc>
        <w:tc>
          <w:tcPr>
            <w:tcW w:type="dxa" w:w="5904"/>
          </w:tcPr>
          <w:p>
            <w:pPr>
              <w:spacing w:before="60" w:after="60"/>
            </w:pPr>
            <w:r/>
            <w:r>
              <w:rPr>
                <w:sz w:val="20"/>
              </w:rPr>
              <w:t>CAPABILITY  |  WHAT TRAVELS  |  Finding the real decision in a room of stated positions.  |  Structuring a problem nobody has framed yet.  |  Knowing when a number is too clean to be true.  |  Holding a position when the room would rather you did not.  |  None of these belong to an industry.</w:t>
            </w:r>
          </w:p>
        </w:tc>
      </w:tr>
      <w:tr>
        <w:tc>
          <w:tcPr>
            <w:tcW w:type="dxa" w:w="576"/>
          </w:tcPr>
          <w:p>
            <w:pPr>
              <w:spacing w:before="60" w:after="60"/>
            </w:pPr>
            <w:r/>
            <w:r>
              <w:rPr>
                <w:sz w:val="20"/>
              </w:rPr>
              <w:t>5</w:t>
            </w:r>
          </w:p>
        </w:tc>
        <w:tc>
          <w:tcPr>
            <w:tcW w:type="dxa" w:w="2160"/>
          </w:tcPr>
          <w:p>
            <w:pPr>
              <w:spacing w:before="60" w:after="60"/>
            </w:pPr>
            <w:r/>
            <w:r>
              <w:rPr>
                <w:sz w:val="20"/>
              </w:rPr>
              <w:t>What must be relearned</w:t>
            </w:r>
          </w:p>
        </w:tc>
        <w:tc>
          <w:tcPr>
            <w:tcW w:type="dxa" w:w="864"/>
          </w:tcPr>
          <w:p>
            <w:pPr>
              <w:spacing w:before="60" w:after="60"/>
            </w:pPr>
            <w:r/>
            <w:r>
              <w:rPr>
                <w:sz w:val="20"/>
              </w:rPr>
              <w:t>2</w:t>
            </w:r>
          </w:p>
        </w:tc>
        <w:tc>
          <w:tcPr>
            <w:tcW w:type="dxa" w:w="5904"/>
          </w:tcPr>
          <w:p>
            <w:pPr>
              <w:spacing w:before="60" w:after="60"/>
            </w:pPr>
            <w:r/>
            <w:r>
              <w:rPr>
                <w:sz w:val="20"/>
              </w:rPr>
              <w:t>CONTEXT  |  WHAT MUST BE RELEARNED  |  The names the same idea goes by here.  |  Who must be convinced, and who can quietly stop it.  |  What the pressure is, and where it comes from.  |  What everyone here is quietly afraid of.  |  It feels like a competence gap. It is an information gap.</w:t>
            </w:r>
          </w:p>
        </w:tc>
      </w:tr>
      <w:tr>
        <w:tc>
          <w:tcPr>
            <w:tcW w:type="dxa" w:w="576"/>
          </w:tcPr>
          <w:p>
            <w:pPr>
              <w:spacing w:before="60" w:after="60"/>
            </w:pPr>
            <w:r/>
            <w:r>
              <w:rPr>
                <w:sz w:val="20"/>
              </w:rPr>
              <w:t>6</w:t>
            </w:r>
          </w:p>
        </w:tc>
        <w:tc>
          <w:tcPr>
            <w:tcW w:type="dxa" w:w="2160"/>
          </w:tcPr>
          <w:p>
            <w:pPr>
              <w:spacing w:before="60" w:after="60"/>
            </w:pPr>
            <w:r/>
            <w:r>
              <w:rPr>
                <w:sz w:val="20"/>
              </w:rPr>
              <w:t>What must be earned</w:t>
            </w:r>
          </w:p>
        </w:tc>
        <w:tc>
          <w:tcPr>
            <w:tcW w:type="dxa" w:w="864"/>
          </w:tcPr>
          <w:p>
            <w:pPr>
              <w:spacing w:before="60" w:after="60"/>
            </w:pPr>
            <w:r/>
            <w:r>
              <w:rPr>
                <w:sz w:val="20"/>
              </w:rPr>
              <w:t>1</w:t>
            </w:r>
          </w:p>
        </w:tc>
        <w:tc>
          <w:tcPr>
            <w:tcW w:type="dxa" w:w="5904"/>
          </w:tcPr>
          <w:p>
            <w:pPr>
              <w:spacing w:before="60" w:after="60"/>
            </w:pPr>
            <w:r/>
            <w:r>
              <w:rPr>
                <w:sz w:val="20"/>
              </w:rPr>
              <w:t>CREDENTIAL  |  WHAT MUST BE EARNED  |  Genuinely required — There is no way around it. Plan for it.  |  A signal — Not required, but it shortens the conversation.  |  Neither — Chased because it feels like progress.</w:t>
            </w:r>
          </w:p>
        </w:tc>
      </w:tr>
      <w:tr>
        <w:tc>
          <w:tcPr>
            <w:tcW w:type="dxa" w:w="576"/>
          </w:tcPr>
          <w:p>
            <w:pPr>
              <w:spacing w:before="60" w:after="60"/>
            </w:pPr>
            <w:r/>
            <w:r>
              <w:rPr>
                <w:sz w:val="20"/>
              </w:rPr>
              <w:t>7</w:t>
            </w:r>
          </w:p>
        </w:tc>
        <w:tc>
          <w:tcPr>
            <w:tcW w:type="dxa" w:w="2160"/>
          </w:tcPr>
          <w:p>
            <w:pPr>
              <w:spacing w:before="60" w:after="60"/>
            </w:pPr>
            <w:r/>
            <w:r>
              <w:rPr>
                <w:sz w:val="20"/>
              </w:rPr>
              <w:t>Start from the destination</w:t>
            </w:r>
          </w:p>
        </w:tc>
        <w:tc>
          <w:tcPr>
            <w:tcW w:type="dxa" w:w="864"/>
          </w:tcPr>
          <w:p>
            <w:pPr>
              <w:spacing w:before="60" w:after="60"/>
            </w:pPr>
            <w:r/>
            <w:r>
              <w:rPr>
                <w:sz w:val="20"/>
              </w:rPr>
              <w:t>2</w:t>
            </w:r>
          </w:p>
        </w:tc>
        <w:tc>
          <w:tcPr>
            <w:tcW w:type="dxa" w:w="5904"/>
          </w:tcPr>
          <w:p>
            <w:pPr>
              <w:spacing w:before="60" w:after="60"/>
            </w:pPr>
            <w:r/>
            <w:r>
              <w:rPr>
                <w:sz w:val="20"/>
              </w:rPr>
              <w:t>MOVE TWO  |  START FROM THE DESTINATION, NOT FROM YOUR CV.  |  What does that industry keep failing to solve?  |  Which of those decisions have you made before?  |  Which patterns do you already recognise early?  |  Which constraints have you worked inside?</w:t>
            </w:r>
          </w:p>
        </w:tc>
      </w:tr>
      <w:tr>
        <w:tc>
          <w:tcPr>
            <w:tcW w:type="dxa" w:w="576"/>
          </w:tcPr>
          <w:p>
            <w:pPr>
              <w:spacing w:before="60" w:after="60"/>
            </w:pPr>
            <w:r/>
            <w:r>
              <w:rPr>
                <w:sz w:val="20"/>
              </w:rPr>
              <w:t>8</w:t>
            </w:r>
          </w:p>
        </w:tc>
        <w:tc>
          <w:tcPr>
            <w:tcW w:type="dxa" w:w="2160"/>
          </w:tcPr>
          <w:p>
            <w:pPr>
              <w:spacing w:before="60" w:after="60"/>
            </w:pPr>
            <w:r/>
            <w:r>
              <w:rPr>
                <w:sz w:val="20"/>
              </w:rPr>
              <w:t>Translate, do not recite</w:t>
            </w:r>
          </w:p>
        </w:tc>
        <w:tc>
          <w:tcPr>
            <w:tcW w:type="dxa" w:w="864"/>
          </w:tcPr>
          <w:p>
            <w:pPr>
              <w:spacing w:before="60" w:after="60"/>
            </w:pPr>
            <w:r/>
            <w:r>
              <w:rPr>
                <w:sz w:val="20"/>
              </w:rPr>
              <w:t>2</w:t>
            </w:r>
          </w:p>
        </w:tc>
        <w:tc>
          <w:tcPr>
            <w:tcW w:type="dxa" w:w="5904"/>
          </w:tcPr>
          <w:p>
            <w:pPr>
              <w:spacing w:before="60" w:after="60"/>
            </w:pPr>
            <w:r/>
            <w:r>
              <w:rPr>
                <w:sz w:val="20"/>
              </w:rPr>
              <w:t>TRANSLATE, DO NOT RECITE  |  “ADAPTABLE.” “STRATEGIC.” “A FAST LEARNER.”  |  These describe how you would like to be seen.  |  THE UNIT THAT TRANSFERS IS JUDGMENT, WITH EVIDENCE ATTACHED.  |  Not a job title. Not a task list.</w:t>
            </w:r>
          </w:p>
        </w:tc>
      </w:tr>
      <w:tr>
        <w:tc>
          <w:tcPr>
            <w:tcW w:type="dxa" w:w="576"/>
          </w:tcPr>
          <w:p>
            <w:pPr>
              <w:spacing w:before="60" w:after="60"/>
            </w:pPr>
            <w:r/>
            <w:r>
              <w:rPr>
                <w:sz w:val="20"/>
              </w:rPr>
              <w:t>9</w:t>
            </w:r>
          </w:p>
        </w:tc>
        <w:tc>
          <w:tcPr>
            <w:tcW w:type="dxa" w:w="2160"/>
          </w:tcPr>
          <w:p>
            <w:pPr>
              <w:spacing w:before="60" w:after="60"/>
            </w:pPr>
            <w:r/>
            <w:r>
              <w:rPr>
                <w:sz w:val="20"/>
              </w:rPr>
              <w:t>Bridge evidence</w:t>
            </w:r>
          </w:p>
        </w:tc>
        <w:tc>
          <w:tcPr>
            <w:tcW w:type="dxa" w:w="864"/>
          </w:tcPr>
          <w:p>
            <w:pPr>
              <w:spacing w:before="60" w:after="60"/>
            </w:pPr>
            <w:r/>
            <w:r>
              <w:rPr>
                <w:sz w:val="20"/>
              </w:rPr>
              <w:t>3</w:t>
            </w:r>
          </w:p>
        </w:tc>
        <w:tc>
          <w:tcPr>
            <w:tcW w:type="dxa" w:w="5904"/>
          </w:tcPr>
          <w:p>
            <w:pPr>
              <w:spacing w:before="60" w:after="60"/>
            </w:pPr>
            <w:r/>
            <w:r>
              <w:rPr>
                <w:sz w:val="20"/>
              </w:rPr>
              <w:t>MOVE THREE  |  BRIDGE EVIDENCE  |  A RELEVANT PROJECT · CROSS-FUNCTIONAL WORK  |  RESEARCH TURNED INTO A POINT OF VIEW · A WORK SAMPLE  |  PRACTITIONER CONVERSATIONS · A FIRST-90-DAYS PLAN</w:t>
            </w:r>
          </w:p>
        </w:tc>
      </w:tr>
      <w:tr>
        <w:tc>
          <w:tcPr>
            <w:tcW w:type="dxa" w:w="576"/>
          </w:tcPr>
          <w:p>
            <w:pPr>
              <w:spacing w:before="60" w:after="60"/>
            </w:pPr>
            <w:r/>
            <w:r>
              <w:rPr>
                <w:sz w:val="20"/>
              </w:rPr>
              <w:t>10</w:t>
            </w:r>
          </w:p>
        </w:tc>
        <w:tc>
          <w:tcPr>
            <w:tcW w:type="dxa" w:w="2160"/>
          </w:tcPr>
          <w:p>
            <w:pPr>
              <w:spacing w:before="60" w:after="60"/>
            </w:pPr>
            <w:r/>
            <w:r>
              <w:rPr>
                <w:sz w:val="20"/>
              </w:rPr>
              <w:t>The three columns</w:t>
            </w:r>
          </w:p>
        </w:tc>
        <w:tc>
          <w:tcPr>
            <w:tcW w:type="dxa" w:w="864"/>
          </w:tcPr>
          <w:p>
            <w:pPr>
              <w:spacing w:before="60" w:after="60"/>
            </w:pPr>
            <w:r/>
            <w:r>
              <w:rPr>
                <w:sz w:val="20"/>
              </w:rPr>
              <w:t>3</w:t>
            </w:r>
          </w:p>
        </w:tc>
        <w:tc>
          <w:tcPr>
            <w:tcW w:type="dxa" w:w="5904"/>
          </w:tcPr>
          <w:p>
            <w:pPr>
              <w:spacing w:before="60" w:after="60"/>
            </w:pPr>
            <w:r/>
            <w:r>
              <w:rPr>
                <w:sz w:val="20"/>
              </w:rPr>
              <w:t>ONE PAGE, THREE COLUMNS  |  WHAT TRAVELS — Judgment, decisions, patterns, ways of working.  |  WHAT CHANGES — Language, stakeholders, incentives, rhythm, risk.  |  WHAT I MUST EARN — The credential or exposure nothing substitutes for.</w:t>
            </w:r>
          </w:p>
        </w:tc>
      </w:tr>
      <w:tr>
        <w:tc>
          <w:tcPr>
            <w:tcW w:type="dxa" w:w="576"/>
          </w:tcPr>
          <w:p>
            <w:pPr>
              <w:spacing w:before="60" w:after="60"/>
            </w:pPr>
            <w:r/>
            <w:r>
              <w:rPr>
                <w:sz w:val="20"/>
              </w:rPr>
              <w:t>11</w:t>
            </w:r>
          </w:p>
        </w:tc>
        <w:tc>
          <w:tcPr>
            <w:tcW w:type="dxa" w:w="2160"/>
          </w:tcPr>
          <w:p>
            <w:pPr>
              <w:spacing w:before="60" w:after="60"/>
            </w:pPr>
            <w:r/>
            <w:r>
              <w:rPr>
                <w:sz w:val="20"/>
              </w:rPr>
              <w:t>Primary CTA, Capability Formation Field Kit</w:t>
            </w:r>
          </w:p>
        </w:tc>
        <w:tc>
          <w:tcPr>
            <w:tcW w:type="dxa" w:w="864"/>
          </w:tcPr>
          <w:p>
            <w:pPr>
              <w:spacing w:before="60" w:after="60"/>
            </w:pPr>
            <w:r/>
            <w:r>
              <w:rPr>
                <w:sz w:val="20"/>
              </w:rPr>
              <w:t>1</w:t>
            </w:r>
          </w:p>
        </w:tc>
        <w:tc>
          <w:tcPr>
            <w:tcW w:type="dxa" w:w="5904"/>
          </w:tcPr>
          <w:p>
            <w:pPr>
              <w:spacing w:before="60" w:after="60"/>
            </w:pPr>
            <w:r/>
            <w:r>
              <w:rPr>
                <w:sz w:val="20"/>
              </w:rPr>
              <w:t>CAPABILITY FORMATION  |  FIELD KIT  |  What has your work built in you? How portable is it? What is still missing?  |  temidayoafonja.com/fieldkit</w:t>
            </w:r>
          </w:p>
        </w:tc>
      </w:tr>
      <w:tr>
        <w:tc>
          <w:tcPr>
            <w:tcW w:type="dxa" w:w="576"/>
          </w:tcPr>
          <w:p>
            <w:pPr>
              <w:spacing w:before="60" w:after="60"/>
            </w:pPr>
            <w:r/>
            <w:r>
              <w:rPr>
                <w:sz w:val="20"/>
              </w:rPr>
              <w:t>12</w:t>
            </w:r>
          </w:p>
        </w:tc>
        <w:tc>
          <w:tcPr>
            <w:tcW w:type="dxa" w:w="2160"/>
          </w:tcPr>
          <w:p>
            <w:pPr>
              <w:spacing w:before="60" w:after="60"/>
            </w:pPr>
            <w:r/>
            <w:r>
              <w:rPr>
                <w:sz w:val="20"/>
              </w:rPr>
              <w:t>Watch next</w:t>
            </w:r>
          </w:p>
        </w:tc>
        <w:tc>
          <w:tcPr>
            <w:tcW w:type="dxa" w:w="864"/>
          </w:tcPr>
          <w:p>
            <w:pPr>
              <w:spacing w:before="60" w:after="60"/>
            </w:pPr>
            <w:r/>
            <w:r>
              <w:rPr>
                <w:sz w:val="20"/>
              </w:rPr>
              <w:t>1</w:t>
            </w:r>
          </w:p>
        </w:tc>
        <w:tc>
          <w:tcPr>
            <w:tcW w:type="dxa" w:w="5904"/>
          </w:tcPr>
          <w:p>
            <w:pPr>
              <w:spacing w:before="60" w:after="60"/>
            </w:pPr>
            <w:r/>
            <w:r>
              <w:rPr>
                <w:sz w:val="20"/>
              </w:rPr>
              <w:t>WATCH NEXT  |  WHAT TO DO BEFORE A LAYOFF HAPPENS  |  Career Portability: Career Pivots, Internal Moves &amp; Growth</w:t>
            </w:r>
          </w:p>
        </w:tc>
      </w:tr>
    </w:tbl>
    <w:p>
      <w:pPr>
        <w:spacing w:before="0" w:after="120" w:line="300" w:lineRule="auto"/>
      </w:pPr>
      <w:r>
        <w:rPr>
          <w:b w:val="0"/>
          <w:i w:val="0"/>
          <w:sz w:val="12"/>
        </w:rPr>
      </w:r>
    </w:p>
    <w:p>
      <w:pPr>
        <w:spacing w:before="0" w:after="160" w:line="300" w:lineRule="auto"/>
      </w:pPr>
      <w:r>
        <w:rPr>
          <w:b w:val="0"/>
          <w:i/>
          <w:color w:val="5A6B82"/>
          <w:sz w:val="20"/>
        </w:rPr>
        <w:t>1920 x 1080, 16:9. No stock imagery, gradients, decorative icons, employer logos or PowerPoint animations. All text and shapes remain editable; nothing is rasterised. Reveal builds are duplicate sequential slides. 24 frames total.</w:t>
      </w:r>
    </w:p>
    <w:p>
      <w:pPr>
        <w:spacing w:before="440" w:after="200" w:line="300" w:lineRule="auto"/>
      </w:pPr>
      <w:r>
        <w:rPr>
          <w:b/>
          <w:i w:val="0"/>
          <w:color w:val="0F2346"/>
          <w:sz w:val="32"/>
        </w:rPr>
        <w:t>6. Code handoff - slides and script files</w:t>
      </w:r>
    </w:p>
    <w:tbl>
      <w:tblPr>
        <w:tblStyle w:val="TableGrid"/>
        <w:tblW w:type="auto" w:w="0"/>
        <w:jc w:val="left"/>
        <w:tblLook w:firstColumn="1" w:firstRow="1" w:lastColumn="0" w:lastRow="0" w:noHBand="0" w:noVBand="1" w:val="04A0"/>
      </w:tblPr>
      <w:tblGrid>
        <w:gridCol w:w="4752"/>
        <w:gridCol w:w="4752"/>
      </w:tblGrid>
      <w:tr>
        <w:tc>
          <w:tcPr>
            <w:tcW w:type="dxa" w:w="3744"/>
          </w:tcPr>
          <w:p>
            <w:pPr>
              <w:spacing w:before="60" w:after="60"/>
            </w:pPr>
            <w:r/>
            <w:r>
              <w:rPr>
                <w:b/>
                <w:color w:val="0F2346"/>
                <w:sz w:val="20"/>
              </w:rPr>
              <w:t>File</w:t>
            </w:r>
          </w:p>
        </w:tc>
        <w:tc>
          <w:tcPr>
            <w:tcW w:type="dxa" w:w="5760"/>
          </w:tcPr>
          <w:p>
            <w:pPr>
              <w:spacing w:before="60" w:after="60"/>
            </w:pPr>
            <w:r/>
            <w:r>
              <w:rPr>
                <w:b/>
                <w:color w:val="0F2346"/>
                <w:sz w:val="20"/>
              </w:rPr>
              <w:t>What it is</w:t>
            </w:r>
          </w:p>
        </w:tc>
      </w:tr>
      <w:tr>
        <w:tc>
          <w:tcPr>
            <w:tcW w:type="dxa" w:w="3744"/>
          </w:tcPr>
          <w:p>
            <w:pPr>
              <w:spacing w:before="60" w:after="60"/>
            </w:pPr>
            <w:r/>
            <w:r>
              <w:rPr>
                <w:sz w:val="20"/>
              </w:rPr>
              <w:t>Video_8_Main_Slides.pptx</w:t>
            </w:r>
          </w:p>
        </w:tc>
        <w:tc>
          <w:tcPr>
            <w:tcW w:type="dxa" w:w="5760"/>
          </w:tcPr>
          <w:p>
            <w:pPr>
              <w:spacing w:before="60" w:after="60"/>
            </w:pPr>
            <w:r/>
            <w:r>
              <w:rPr>
                <w:sz w:val="20"/>
              </w:rPr>
              <w:t>12 editable slides, final revealed state. All text is live text; no images.</w:t>
            </w:r>
          </w:p>
        </w:tc>
      </w:tr>
      <w:tr>
        <w:tc>
          <w:tcPr>
            <w:tcW w:type="dxa" w:w="3744"/>
          </w:tcPr>
          <w:p>
            <w:pPr>
              <w:spacing w:before="60" w:after="60"/>
            </w:pPr>
            <w:r/>
            <w:r>
              <w:rPr>
                <w:sz w:val="20"/>
              </w:rPr>
              <w:t>Video_8_Reveal_Builds.pptx</w:t>
            </w:r>
          </w:p>
        </w:tc>
        <w:tc>
          <w:tcPr>
            <w:tcW w:type="dxa" w:w="5760"/>
          </w:tcPr>
          <w:p>
            <w:pPr>
              <w:spacing w:before="60" w:after="60"/>
            </w:pPr>
            <w:r/>
            <w:r>
              <w:rPr>
                <w:sz w:val="20"/>
              </w:rPr>
              <w:t>24 slides, one per reveal state, in advance order.</w:t>
            </w:r>
          </w:p>
        </w:tc>
      </w:tr>
      <w:tr>
        <w:tc>
          <w:tcPr>
            <w:tcW w:type="dxa" w:w="3744"/>
          </w:tcPr>
          <w:p>
            <w:pPr>
              <w:spacing w:before="60" w:after="60"/>
            </w:pPr>
            <w:r/>
            <w:r>
              <w:rPr>
                <w:sz w:val="20"/>
              </w:rPr>
              <w:t>Video_8_Slide_Preview.pdf</w:t>
            </w:r>
          </w:p>
        </w:tc>
        <w:tc>
          <w:tcPr>
            <w:tcW w:type="dxa" w:w="5760"/>
          </w:tcPr>
          <w:p>
            <w:pPr>
              <w:spacing w:before="60" w:after="60"/>
            </w:pPr>
            <w:r/>
            <w:r>
              <w:rPr>
                <w:sz w:val="20"/>
              </w:rPr>
              <w:t>12 pages at true 16:9.</w:t>
            </w:r>
          </w:p>
        </w:tc>
      </w:tr>
      <w:tr>
        <w:tc>
          <w:tcPr>
            <w:tcW w:type="dxa" w:w="3744"/>
          </w:tcPr>
          <w:p>
            <w:pPr>
              <w:spacing w:before="60" w:after="60"/>
            </w:pPr>
            <w:r/>
            <w:r>
              <w:rPr>
                <w:sz w:val="20"/>
              </w:rPr>
              <w:t>Video_8_Main_Slide_Contact_Sheet.png</w:t>
            </w:r>
          </w:p>
        </w:tc>
        <w:tc>
          <w:tcPr>
            <w:tcW w:type="dxa" w:w="5760"/>
          </w:tcPr>
          <w:p>
            <w:pPr>
              <w:spacing w:before="60" w:after="60"/>
            </w:pPr>
            <w:r/>
            <w:r>
              <w:rPr>
                <w:sz w:val="20"/>
              </w:rPr>
              <w:t>All 12 slides on one sheet.</w:t>
            </w:r>
          </w:p>
        </w:tc>
      </w:tr>
      <w:tr>
        <w:tc>
          <w:tcPr>
            <w:tcW w:type="dxa" w:w="3744"/>
          </w:tcPr>
          <w:p>
            <w:pPr>
              <w:spacing w:before="60" w:after="60"/>
            </w:pPr>
            <w:r/>
            <w:r>
              <w:rPr>
                <w:sz w:val="20"/>
              </w:rPr>
              <w:t>Video_8_Reveal_Order_Sheet.png</w:t>
            </w:r>
          </w:p>
        </w:tc>
        <w:tc>
          <w:tcPr>
            <w:tcW w:type="dxa" w:w="5760"/>
          </w:tcPr>
          <w:p>
            <w:pPr>
              <w:spacing w:before="60" w:after="60"/>
            </w:pPr>
            <w:r/>
            <w:r>
              <w:rPr>
                <w:sz w:val="20"/>
              </w:rPr>
              <w:t>All 24 frames in advance order.</w:t>
            </w:r>
          </w:p>
        </w:tc>
      </w:tr>
      <w:tr>
        <w:tc>
          <w:tcPr>
            <w:tcW w:type="dxa" w:w="3744"/>
          </w:tcPr>
          <w:p>
            <w:pPr>
              <w:spacing w:before="60" w:after="60"/>
            </w:pPr>
            <w:r/>
            <w:r>
              <w:rPr>
                <w:sz w:val="20"/>
              </w:rPr>
              <w:t>Video_8_Phone_Legibility_Sheet.png</w:t>
            </w:r>
          </w:p>
        </w:tc>
        <w:tc>
          <w:tcPr>
            <w:tcW w:type="dxa" w:w="5760"/>
          </w:tcPr>
          <w:p>
            <w:pPr>
              <w:spacing w:before="60" w:after="60"/>
            </w:pPr>
            <w:r/>
            <w:r>
              <w:rPr>
                <w:sz w:val="20"/>
              </w:rPr>
              <w:t>Every slide at 320 x 180.</w:t>
            </w:r>
          </w:p>
        </w:tc>
      </w:tr>
      <w:tr>
        <w:tc>
          <w:tcPr>
            <w:tcW w:type="dxa" w:w="3744"/>
          </w:tcPr>
          <w:p>
            <w:pPr>
              <w:spacing w:before="60" w:after="60"/>
            </w:pPr>
            <w:r/>
            <w:r>
              <w:rPr>
                <w:sz w:val="20"/>
              </w:rPr>
              <w:t>Video_8_Teleprompter_Script_with_Slide_Markers.docx</w:t>
            </w:r>
          </w:p>
        </w:tc>
        <w:tc>
          <w:tcPr>
            <w:tcW w:type="dxa" w:w="5760"/>
          </w:tcPr>
          <w:p>
            <w:pPr>
              <w:spacing w:before="60" w:after="60"/>
            </w:pPr>
            <w:r/>
            <w:r>
              <w:rPr>
                <w:sz w:val="20"/>
              </w:rPr>
              <w:t>The spoken script with 12 slide markers and the package's own stage directions kept visually distinct.</w:t>
            </w:r>
          </w:p>
        </w:tc>
      </w:tr>
      <w:tr>
        <w:tc>
          <w:tcPr>
            <w:tcW w:type="dxa" w:w="3744"/>
          </w:tcPr>
          <w:p>
            <w:pPr>
              <w:spacing w:before="60" w:after="60"/>
            </w:pPr>
            <w:r/>
            <w:r>
              <w:rPr>
                <w:sz w:val="20"/>
              </w:rPr>
              <w:t>Video_8_Recording_Script_Clean.txt</w:t>
            </w:r>
          </w:p>
        </w:tc>
        <w:tc>
          <w:tcPr>
            <w:tcW w:type="dxa" w:w="5760"/>
          </w:tcPr>
          <w:p>
            <w:pPr>
              <w:spacing w:before="60" w:after="60"/>
            </w:pPr>
            <w:r/>
            <w:r>
              <w:rPr>
                <w:sz w:val="20"/>
              </w:rPr>
              <w:t>Spoken words only. No timestamps, markers or directions.</w:t>
            </w:r>
          </w:p>
        </w:tc>
      </w:tr>
      <w:tr>
        <w:tc>
          <w:tcPr>
            <w:tcW w:type="dxa" w:w="3744"/>
          </w:tcPr>
          <w:p>
            <w:pPr>
              <w:spacing w:before="60" w:after="60"/>
            </w:pPr>
            <w:r/>
            <w:r>
              <w:rPr>
                <w:sz w:val="20"/>
              </w:rPr>
              <w:t>build/slides.py, build/deck.py, build/build.py</w:t>
            </w:r>
          </w:p>
        </w:tc>
        <w:tc>
          <w:tcPr>
            <w:tcW w:type="dxa" w:w="5760"/>
          </w:tcPr>
          <w:p>
            <w:pPr>
              <w:spacing w:before="60" w:after="60"/>
            </w:pPr>
            <w:r/>
            <w:r>
              <w:rPr>
                <w:sz w:val="20"/>
              </w:rPr>
              <w:t>Editable sources. deck.py is carried forward from Video 7 unchanged.</w:t>
            </w:r>
          </w:p>
        </w:tc>
      </w:tr>
    </w:tbl>
    <w:p>
      <w:pPr>
        <w:spacing w:before="0" w:after="120" w:line="300" w:lineRule="auto"/>
      </w:pPr>
      <w:r>
        <w:rPr>
          <w:b w:val="0"/>
          <w:i w:val="0"/>
          <w:sz w:val="12"/>
        </w:rPr>
      </w:r>
    </w:p>
    <w:p>
      <w:pPr>
        <w:spacing w:before="440" w:after="200" w:line="300" w:lineRule="auto"/>
      </w:pPr>
      <w:r>
        <w:rPr>
          <w:b/>
          <w:i w:val="0"/>
          <w:color w:val="0F2346"/>
          <w:sz w:val="32"/>
        </w:rPr>
        <w:t>7. Thumbnail - to be created externally, not built here</w:t>
      </w:r>
    </w:p>
    <w:tbl>
      <w:tblPr>
        <w:tblStyle w:val="TableGrid"/>
        <w:tblW w:type="auto" w:w="0"/>
        <w:jc w:val="left"/>
        <w:tblLook w:firstColumn="1" w:firstRow="1" w:lastColumn="0" w:lastRow="0" w:noHBand="0" w:noVBand="1" w:val="04A0"/>
      </w:tblPr>
      <w:tblGrid>
        <w:gridCol w:w="4752"/>
        <w:gridCol w:w="4752"/>
      </w:tblGrid>
      <w:tr>
        <w:tc>
          <w:tcPr>
            <w:tcW w:type="dxa" w:w="2160"/>
          </w:tcPr>
          <w:p>
            <w:pPr>
              <w:spacing w:before="60" w:after="60"/>
            </w:pPr>
            <w:r/>
            <w:r>
              <w:rPr>
                <w:b/>
                <w:color w:val="0F2346"/>
                <w:sz w:val="20"/>
              </w:rPr>
              <w:t>Field</w:t>
            </w:r>
          </w:p>
        </w:tc>
        <w:tc>
          <w:tcPr>
            <w:tcW w:type="dxa" w:w="7344"/>
          </w:tcPr>
          <w:p>
            <w:pPr>
              <w:spacing w:before="60" w:after="60"/>
            </w:pPr>
            <w:r/>
            <w:r>
              <w:rPr>
                <w:b/>
                <w:color w:val="0F2346"/>
                <w:sz w:val="20"/>
              </w:rPr>
              <w:t>Value</w:t>
            </w:r>
          </w:p>
        </w:tc>
      </w:tr>
      <w:tr>
        <w:tc>
          <w:tcPr>
            <w:tcW w:type="dxa" w:w="2160"/>
          </w:tcPr>
          <w:p>
            <w:pPr>
              <w:spacing w:before="60" w:after="60"/>
            </w:pPr>
            <w:r/>
            <w:r>
              <w:rPr>
                <w:sz w:val="20"/>
              </w:rPr>
              <w:t>Locked copy</w:t>
            </w:r>
          </w:p>
        </w:tc>
        <w:tc>
          <w:tcPr>
            <w:tcW w:type="dxa" w:w="7344"/>
          </w:tcPr>
          <w:p>
            <w:pPr>
              <w:spacing w:before="60" w:after="60"/>
            </w:pPr>
            <w:r/>
            <w:r>
              <w:rPr>
                <w:sz w:val="20"/>
              </w:rPr>
              <w:t>YOUR EXPERIENCE STILL COUNTS</w:t>
            </w:r>
          </w:p>
        </w:tc>
      </w:tr>
      <w:tr>
        <w:tc>
          <w:tcPr>
            <w:tcW w:type="dxa" w:w="2160"/>
          </w:tcPr>
          <w:p>
            <w:pPr>
              <w:spacing w:before="60" w:after="60"/>
            </w:pPr>
            <w:r/>
            <w:r>
              <w:rPr>
                <w:sz w:val="20"/>
              </w:rPr>
              <w:t>Status</w:t>
            </w:r>
          </w:p>
        </w:tc>
        <w:tc>
          <w:tcPr>
            <w:tcW w:type="dxa" w:w="7344"/>
          </w:tcPr>
          <w:p>
            <w:pPr>
              <w:spacing w:before="60" w:after="60"/>
            </w:pPr>
            <w:r/>
            <w:r>
              <w:rPr>
                <w:sz w:val="20"/>
              </w:rPr>
              <w:t>Temidayo will create the final thumbnail in Canva.</w:t>
            </w:r>
          </w:p>
        </w:tc>
      </w:tr>
      <w:tr>
        <w:tc>
          <w:tcPr>
            <w:tcW w:type="dxa" w:w="2160"/>
          </w:tcPr>
          <w:p>
            <w:pPr>
              <w:spacing w:before="60" w:after="60"/>
            </w:pPr>
            <w:r/>
            <w:r>
              <w:rPr>
                <w:sz w:val="20"/>
              </w:rPr>
              <w:t>Instruction</w:t>
            </w:r>
          </w:p>
        </w:tc>
        <w:tc>
          <w:tcPr>
            <w:tcW w:type="dxa" w:w="7344"/>
          </w:tcPr>
          <w:p>
            <w:pPr>
              <w:spacing w:before="60" w:after="60"/>
            </w:pPr>
            <w:r/>
            <w:r>
              <w:rPr>
                <w:sz w:val="20"/>
              </w:rPr>
              <w:t>Do not create, redesign or substitute a Video 8 thumbnail. None was made in this package and no placeholder was produced.</w:t>
            </w:r>
          </w:p>
        </w:tc>
      </w:tr>
      <w:tr>
        <w:tc>
          <w:tcPr>
            <w:tcW w:type="dxa" w:w="2160"/>
          </w:tcPr>
          <w:p>
            <w:pPr>
              <w:spacing w:before="60" w:after="60"/>
            </w:pPr>
            <w:r/>
            <w:r>
              <w:rPr>
                <w:sz w:val="20"/>
              </w:rPr>
              <w:t>Standards to apply</w:t>
            </w:r>
          </w:p>
        </w:tc>
        <w:tc>
          <w:tcPr>
            <w:tcW w:type="dxa" w:w="7344"/>
          </w:tcPr>
          <w:p>
            <w:pPr>
              <w:spacing w:before="60" w:after="60"/>
            </w:pPr>
            <w:r/>
            <w:r>
              <w:rPr>
                <w:sz w:val="20"/>
              </w:rPr>
              <w:t>1280 x 720 upload, exact 16:9. Palette cream #F5F0E8, navy #0F2346, gold #C9A84C. Legible at 200 px wide. See CAPABILITY_FORMATION_YOUTUBE_STANDARDS.md.</w:t>
            </w:r>
          </w:p>
        </w:tc>
      </w:tr>
    </w:tbl>
    <w:p>
      <w:pPr>
        <w:spacing w:before="0" w:after="120" w:line="300" w:lineRule="auto"/>
      </w:pPr>
      <w:r>
        <w:rPr>
          <w:b w:val="0"/>
          <w:i w:val="0"/>
          <w:sz w:val="12"/>
        </w:rPr>
      </w:r>
    </w:p>
    <w:p>
      <w:pPr>
        <w:spacing w:before="440" w:after="200" w:line="300" w:lineRule="auto"/>
      </w:pPr>
      <w:r>
        <w:rPr>
          <w:b/>
          <w:i w:val="0"/>
          <w:color w:val="0F2346"/>
          <w:sz w:val="32"/>
        </w:rPr>
        <w:t>8. YouTube publishing package</w:t>
      </w:r>
    </w:p>
    <w:p>
      <w:pPr>
        <w:spacing w:before="0" w:after="80" w:line="300" w:lineRule="auto"/>
      </w:pPr>
      <w:r>
        <w:rPr>
          <w:b/>
          <w:i w:val="0"/>
          <w:color w:val="0F2346"/>
          <w:sz w:val="22"/>
        </w:rPr>
        <w:t>Title</w:t>
      </w:r>
    </w:p>
    <w:p>
      <w:pPr>
        <w:spacing w:before="0" w:after="200" w:line="300" w:lineRule="auto"/>
      </w:pPr>
      <w:r>
        <w:rPr>
          <w:b w:val="0"/>
          <w:i w:val="0"/>
          <w:sz w:val="22"/>
        </w:rPr>
        <w:t>How to Move Into a New Industry Without Starting Over</w:t>
      </w:r>
    </w:p>
    <w:p>
      <w:pPr>
        <w:spacing w:before="0" w:after="80" w:line="300" w:lineRule="auto"/>
      </w:pPr>
      <w:r>
        <w:rPr>
          <w:b/>
          <w:i w:val="0"/>
          <w:color w:val="0F2346"/>
          <w:sz w:val="22"/>
        </w:rPr>
        <w:t>Description</w:t>
      </w:r>
    </w:p>
    <w:p>
      <w:pPr>
        <w:spacing w:before="0" w:after="120" w:line="300" w:lineRule="auto"/>
      </w:pPr>
      <w:r>
        <w:rPr>
          <w:b w:val="0"/>
          <w:i w:val="0"/>
          <w:sz w:val="22"/>
        </w:rPr>
        <w:t>You are considering a move into a different industry, and the question underneath it is whether your experience will still count once you get there. This video is about how to move into a new industry without starting over: how to work out what actually transfers, what you will have to relearn because the context is different, and how to build credible evidence before you have direct experience in the destination field.</w:t>
      </w:r>
    </w:p>
    <w:p>
      <w:pPr>
        <w:spacing w:before="0" w:after="40" w:line="300" w:lineRule="auto"/>
      </w:pPr>
      <w:r>
        <w:rPr>
          <w:b w:val="0"/>
          <w:i w:val="0"/>
          <w:sz w:val="22"/>
        </w:rPr>
        <w:t xml:space="preserve"> </w:t>
      </w:r>
    </w:p>
    <w:p>
      <w:pPr>
        <w:spacing w:before="0" w:after="120" w:line="300" w:lineRule="auto"/>
      </w:pPr>
      <w:r>
        <w:rPr>
          <w:b w:val="0"/>
          <w:i w:val="0"/>
          <w:sz w:val="22"/>
        </w:rPr>
        <w:t>Changing industries does not make you entry-level at everything. It makes you new to a context. Those are different problems, and advice that collapses them into one leaves you either underselling years of judgment or overclaiming familiarity you have not earned yet.</w:t>
      </w:r>
    </w:p>
    <w:p>
      <w:pPr>
        <w:spacing w:before="0" w:after="40" w:line="300" w:lineRule="auto"/>
      </w:pPr>
      <w:r>
        <w:rPr>
          <w:b w:val="0"/>
          <w:i w:val="0"/>
          <w:sz w:val="22"/>
        </w:rPr>
        <w:t xml:space="preserve"> </w:t>
      </w:r>
    </w:p>
    <w:p>
      <w:pPr>
        <w:spacing w:before="0" w:after="120" w:line="300" w:lineRule="auto"/>
      </w:pPr>
      <w:r>
        <w:rPr>
          <w:b w:val="0"/>
          <w:i w:val="0"/>
          <w:sz w:val="22"/>
        </w:rPr>
        <w:t>Three moves:</w:t>
      </w:r>
    </w:p>
    <w:p>
      <w:pPr>
        <w:spacing w:before="0" w:after="120" w:line="300" w:lineRule="auto"/>
      </w:pPr>
      <w:r>
        <w:rPr>
          <w:b w:val="0"/>
          <w:i w:val="0"/>
          <w:sz w:val="22"/>
        </w:rPr>
        <w:t>1. Separate capability, context and credential — they feel like one thing and they have completely different remedies.</w:t>
      </w:r>
    </w:p>
    <w:p>
      <w:pPr>
        <w:spacing w:before="0" w:after="120" w:line="300" w:lineRule="auto"/>
      </w:pPr>
      <w:r>
        <w:rPr>
          <w:b w:val="0"/>
          <w:i w:val="0"/>
          <w:sz w:val="22"/>
        </w:rPr>
        <w:t>2. Match your judgment to the problems the destination industry needs solved, starting from that industry rather than from your CV.</w:t>
      </w:r>
    </w:p>
    <w:p>
      <w:pPr>
        <w:spacing w:before="0" w:after="120" w:line="300" w:lineRule="auto"/>
      </w:pPr>
      <w:r>
        <w:rPr>
          <w:b w:val="0"/>
          <w:i w:val="0"/>
          <w:sz w:val="22"/>
        </w:rPr>
        <w:t>3. Build bridge evidence and a first-90-days learning plan, using only what you are permitted to have.</w:t>
      </w:r>
    </w:p>
    <w:p>
      <w:pPr>
        <w:spacing w:before="0" w:after="40" w:line="300" w:lineRule="auto"/>
      </w:pPr>
      <w:r>
        <w:rPr>
          <w:b w:val="0"/>
          <w:i w:val="0"/>
          <w:sz w:val="22"/>
        </w:rPr>
        <w:t xml:space="preserve"> </w:t>
      </w:r>
    </w:p>
    <w:p>
      <w:pPr>
        <w:spacing w:before="0" w:after="120" w:line="300" w:lineRule="auto"/>
      </w:pPr>
      <w:r>
        <w:rPr>
          <w:b w:val="0"/>
          <w:i w:val="0"/>
          <w:sz w:val="22"/>
        </w:rPr>
        <w:t>You will also get a one-page exercise — what travels, what changes, what I must earn — and a way to say it out loud that does not sound like a slogan.</w:t>
      </w:r>
    </w:p>
    <w:p>
      <w:pPr>
        <w:spacing w:before="0" w:after="40" w:line="300" w:lineRule="auto"/>
      </w:pPr>
      <w:r>
        <w:rPr>
          <w:b w:val="0"/>
          <w:i w:val="0"/>
          <w:sz w:val="22"/>
        </w:rPr>
        <w:t xml:space="preserve"> </w:t>
      </w:r>
    </w:p>
    <w:p>
      <w:pPr>
        <w:spacing w:before="0" w:after="120" w:line="300" w:lineRule="auto"/>
      </w:pPr>
      <w:r>
        <w:rPr>
          <w:b w:val="0"/>
          <w:i w:val="0"/>
          <w:sz w:val="22"/>
        </w:rPr>
        <w:t>This is not a promise that you can avoid every tradeoff of moving industries, and it is not permission to overstate what you know. It is a method for being accurate about your own portability.</w:t>
      </w:r>
    </w:p>
    <w:p>
      <w:pPr>
        <w:spacing w:before="0" w:after="40" w:line="300" w:lineRule="auto"/>
      </w:pPr>
      <w:r>
        <w:rPr>
          <w:b w:val="0"/>
          <w:i w:val="0"/>
          <w:sz w:val="22"/>
        </w:rPr>
        <w:t xml:space="preserve"> </w:t>
      </w:r>
    </w:p>
    <w:p>
      <w:pPr>
        <w:spacing w:before="0" w:after="120" w:line="300" w:lineRule="auto"/>
      </w:pPr>
      <w:r>
        <w:rPr>
          <w:b w:val="0"/>
          <w:i w:val="0"/>
          <w:sz w:val="22"/>
        </w:rPr>
        <w:t>CAPABILITY FORMATION FIELD KIT</w:t>
      </w:r>
    </w:p>
    <w:p>
      <w:pPr>
        <w:spacing w:before="0" w:after="120" w:line="300" w:lineRule="auto"/>
      </w:pPr>
      <w:r>
        <w:rPr>
          <w:b w:val="0"/>
          <w:i w:val="0"/>
          <w:sz w:val="22"/>
        </w:rPr>
        <w:t>A structured way to examine what your work has built in you, how portable it is, and where development or evidence is still needed.</w:t>
      </w:r>
    </w:p>
    <w:p>
      <w:pPr>
        <w:spacing w:before="0" w:after="120" w:line="300" w:lineRule="auto"/>
      </w:pPr>
      <w:r>
        <w:rPr>
          <w:b w:val="0"/>
          <w:i w:val="0"/>
          <w:sz w:val="22"/>
        </w:rPr>
        <w:t>https://temidayoafonja.com/fieldkit</w:t>
      </w:r>
    </w:p>
    <w:p>
      <w:pPr>
        <w:spacing w:before="0" w:after="40" w:line="300" w:lineRule="auto"/>
      </w:pPr>
      <w:r>
        <w:rPr>
          <w:b w:val="0"/>
          <w:i w:val="0"/>
          <w:sz w:val="22"/>
        </w:rPr>
        <w:t xml:space="preserve"> </w:t>
      </w:r>
    </w:p>
    <w:p>
      <w:pPr>
        <w:spacing w:before="0" w:after="120" w:line="300" w:lineRule="auto"/>
      </w:pPr>
      <w:r>
        <w:rPr>
          <w:b w:val="0"/>
          <w:i w:val="0"/>
          <w:sz w:val="22"/>
        </w:rPr>
        <w:t>WATCH NEXT</w:t>
      </w:r>
    </w:p>
    <w:p>
      <w:pPr>
        <w:spacing w:before="0" w:after="120" w:line="300" w:lineRule="auto"/>
      </w:pPr>
      <w:r>
        <w:rPr>
          <w:b w:val="0"/>
          <w:i w:val="0"/>
          <w:sz w:val="22"/>
        </w:rPr>
        <w:t>What to Do Before a Layoff Happens</w:t>
      </w:r>
    </w:p>
    <w:p>
      <w:pPr>
        <w:spacing w:before="0" w:after="120" w:line="300" w:lineRule="auto"/>
      </w:pPr>
      <w:r>
        <w:rPr>
          <w:b w:val="0"/>
          <w:i w:val="0"/>
          <w:sz w:val="22"/>
        </w:rPr>
        <w:t>Playlist — Career Portability: Career Pivots, Internal Moves &amp; Growth</w:t>
      </w:r>
    </w:p>
    <w:p>
      <w:pPr>
        <w:spacing w:before="160" w:after="80" w:line="300" w:lineRule="auto"/>
      </w:pPr>
      <w:r>
        <w:rPr>
          <w:b/>
          <w:i w:val="0"/>
          <w:color w:val="0F2346"/>
          <w:sz w:val="22"/>
        </w:rPr>
        <w:t>Tags - the exact target keyword first</w:t>
      </w:r>
    </w:p>
    <w:p>
      <w:pPr>
        <w:spacing w:before="0" w:after="200" w:line="300" w:lineRule="auto"/>
      </w:pPr>
      <w:r>
        <w:rPr>
          <w:b w:val="0"/>
          <w:i w:val="0"/>
          <w:sz w:val="22"/>
        </w:rPr>
        <w:t>how to move into a new industry, how to switch industries without starting over, transferable skills for a career change, how to change industries without starting over, career change, changing industries, career pivot, transferable skills, career portability, mid career change, experienced professionals</w:t>
      </w:r>
    </w:p>
    <w:p>
      <w:pPr>
        <w:spacing w:before="0" w:after="80" w:line="300" w:lineRule="auto"/>
      </w:pPr>
      <w:r>
        <w:rPr>
          <w:b/>
          <w:i w:val="0"/>
          <w:color w:val="0F2346"/>
          <w:sz w:val="22"/>
        </w:rPr>
        <w:t>Chapters</w:t>
      </w:r>
    </w:p>
    <w:tbl>
      <w:tblPr>
        <w:tblStyle w:val="TableGrid"/>
        <w:tblW w:type="auto" w:w="0"/>
        <w:jc w:val="left"/>
        <w:tblLook w:firstColumn="1" w:firstRow="1" w:lastColumn="0" w:lastRow="0" w:noHBand="0" w:noVBand="1" w:val="04A0"/>
      </w:tblPr>
      <w:tblGrid>
        <w:gridCol w:w="4752"/>
        <w:gridCol w:w="4752"/>
      </w:tblGrid>
      <w:tr>
        <w:tc>
          <w:tcPr>
            <w:tcW w:type="dxa" w:w="1440"/>
          </w:tcPr>
          <w:p>
            <w:pPr>
              <w:spacing w:before="60" w:after="60"/>
            </w:pPr>
            <w:r/>
            <w:r>
              <w:rPr>
                <w:b/>
                <w:color w:val="0F2346"/>
                <w:sz w:val="20"/>
              </w:rPr>
              <w:t>Time</w:t>
            </w:r>
          </w:p>
        </w:tc>
        <w:tc>
          <w:tcPr>
            <w:tcW w:type="dxa" w:w="8064"/>
          </w:tcPr>
          <w:p>
            <w:pPr>
              <w:spacing w:before="60" w:after="60"/>
            </w:pPr>
            <w:r/>
            <w:r>
              <w:rPr>
                <w:b/>
                <w:color w:val="0F2346"/>
                <w:sz w:val="20"/>
              </w:rPr>
              <w:t>Chapter</w:t>
            </w:r>
          </w:p>
        </w:tc>
      </w:tr>
      <w:tr>
        <w:tc>
          <w:tcPr>
            <w:tcW w:type="dxa" w:w="1440"/>
          </w:tcPr>
          <w:p>
            <w:pPr>
              <w:spacing w:before="60" w:after="60"/>
            </w:pPr>
            <w:r/>
            <w:r>
              <w:rPr>
                <w:sz w:val="20"/>
              </w:rPr>
              <w:t>0:00</w:t>
            </w:r>
          </w:p>
        </w:tc>
        <w:tc>
          <w:tcPr>
            <w:tcW w:type="dxa" w:w="8064"/>
          </w:tcPr>
          <w:p>
            <w:pPr>
              <w:spacing w:before="60" w:after="60"/>
            </w:pPr>
            <w:r/>
            <w:r>
              <w:rPr>
                <w:sz w:val="20"/>
              </w:rPr>
              <w:t>New to a context, not new to everything</w:t>
            </w:r>
          </w:p>
        </w:tc>
      </w:tr>
      <w:tr>
        <w:tc>
          <w:tcPr>
            <w:tcW w:type="dxa" w:w="1440"/>
          </w:tcPr>
          <w:p>
            <w:pPr>
              <w:spacing w:before="60" w:after="60"/>
            </w:pPr>
            <w:r/>
            <w:r>
              <w:rPr>
                <w:sz w:val="20"/>
              </w:rPr>
              <w:t>0:30</w:t>
            </w:r>
          </w:p>
        </w:tc>
        <w:tc>
          <w:tcPr>
            <w:tcW w:type="dxa" w:w="8064"/>
          </w:tcPr>
          <w:p>
            <w:pPr>
              <w:spacing w:before="60" w:after="60"/>
            </w:pPr>
            <w:r/>
            <w:r>
              <w:rPr>
                <w:sz w:val="20"/>
              </w:rPr>
              <w:t>Why I have made this move more than once</w:t>
            </w:r>
          </w:p>
        </w:tc>
      </w:tr>
      <w:tr>
        <w:tc>
          <w:tcPr>
            <w:tcW w:type="dxa" w:w="1440"/>
          </w:tcPr>
          <w:p>
            <w:pPr>
              <w:spacing w:before="60" w:after="60"/>
            </w:pPr>
            <w:r/>
            <w:r>
              <w:rPr>
                <w:sz w:val="20"/>
              </w:rPr>
              <w:t>1:15</w:t>
            </w:r>
          </w:p>
        </w:tc>
        <w:tc>
          <w:tcPr>
            <w:tcW w:type="dxa" w:w="8064"/>
          </w:tcPr>
          <w:p>
            <w:pPr>
              <w:spacing w:before="60" w:after="60"/>
            </w:pPr>
            <w:r/>
            <w:r>
              <w:rPr>
                <w:sz w:val="20"/>
              </w:rPr>
              <w:t>What actually changes in an industry move</w:t>
            </w:r>
          </w:p>
        </w:tc>
      </w:tr>
      <w:tr>
        <w:tc>
          <w:tcPr>
            <w:tcW w:type="dxa" w:w="1440"/>
          </w:tcPr>
          <w:p>
            <w:pPr>
              <w:spacing w:before="60" w:after="60"/>
            </w:pPr>
            <w:r/>
            <w:r>
              <w:rPr>
                <w:sz w:val="20"/>
              </w:rPr>
              <w:t>2:15</w:t>
            </w:r>
          </w:p>
        </w:tc>
        <w:tc>
          <w:tcPr>
            <w:tcW w:type="dxa" w:w="8064"/>
          </w:tcPr>
          <w:p>
            <w:pPr>
              <w:spacing w:before="60" w:after="60"/>
            </w:pPr>
            <w:r/>
            <w:r>
              <w:rPr>
                <w:sz w:val="20"/>
              </w:rPr>
              <w:t>Move one - capability, context and credential</w:t>
            </w:r>
          </w:p>
        </w:tc>
      </w:tr>
      <w:tr>
        <w:tc>
          <w:tcPr>
            <w:tcW w:type="dxa" w:w="1440"/>
          </w:tcPr>
          <w:p>
            <w:pPr>
              <w:spacing w:before="60" w:after="60"/>
            </w:pPr>
            <w:r/>
            <w:r>
              <w:rPr>
                <w:sz w:val="20"/>
              </w:rPr>
              <w:t>4:10</w:t>
            </w:r>
          </w:p>
        </w:tc>
        <w:tc>
          <w:tcPr>
            <w:tcW w:type="dxa" w:w="8064"/>
          </w:tcPr>
          <w:p>
            <w:pPr>
              <w:spacing w:before="60" w:after="60"/>
            </w:pPr>
            <w:r/>
            <w:r>
              <w:rPr>
                <w:sz w:val="20"/>
              </w:rPr>
              <w:t>Move two - start from the destination</w:t>
            </w:r>
          </w:p>
        </w:tc>
      </w:tr>
      <w:tr>
        <w:tc>
          <w:tcPr>
            <w:tcW w:type="dxa" w:w="1440"/>
          </w:tcPr>
          <w:p>
            <w:pPr>
              <w:spacing w:before="60" w:after="60"/>
            </w:pPr>
            <w:r/>
            <w:r>
              <w:rPr>
                <w:sz w:val="20"/>
              </w:rPr>
              <w:t>6:15</w:t>
            </w:r>
          </w:p>
        </w:tc>
        <w:tc>
          <w:tcPr>
            <w:tcW w:type="dxa" w:w="8064"/>
          </w:tcPr>
          <w:p>
            <w:pPr>
              <w:spacing w:before="60" w:after="60"/>
            </w:pPr>
            <w:r/>
            <w:r>
              <w:rPr>
                <w:sz w:val="20"/>
              </w:rPr>
              <w:t>Move three - bridge evidence and a learning plan</w:t>
            </w:r>
          </w:p>
        </w:tc>
      </w:tr>
      <w:tr>
        <w:tc>
          <w:tcPr>
            <w:tcW w:type="dxa" w:w="1440"/>
          </w:tcPr>
          <w:p>
            <w:pPr>
              <w:spacing w:before="60" w:after="60"/>
            </w:pPr>
            <w:r/>
            <w:r>
              <w:rPr>
                <w:sz w:val="20"/>
              </w:rPr>
              <w:t>8:30</w:t>
            </w:r>
          </w:p>
        </w:tc>
        <w:tc>
          <w:tcPr>
            <w:tcW w:type="dxa" w:w="8064"/>
          </w:tcPr>
          <w:p>
            <w:pPr>
              <w:spacing w:before="60" w:after="60"/>
            </w:pPr>
            <w:r/>
            <w:r>
              <w:rPr>
                <w:sz w:val="20"/>
              </w:rPr>
              <w:t>The three columns</w:t>
            </w:r>
          </w:p>
        </w:tc>
      </w:tr>
      <w:tr>
        <w:tc>
          <w:tcPr>
            <w:tcW w:type="dxa" w:w="1440"/>
          </w:tcPr>
          <w:p>
            <w:pPr>
              <w:spacing w:before="60" w:after="60"/>
            </w:pPr>
            <w:r/>
            <w:r>
              <w:rPr>
                <w:sz w:val="20"/>
              </w:rPr>
              <w:t>9:30</w:t>
            </w:r>
          </w:p>
        </w:tc>
        <w:tc>
          <w:tcPr>
            <w:tcW w:type="dxa" w:w="8064"/>
          </w:tcPr>
          <w:p>
            <w:pPr>
              <w:spacing w:before="60" w:after="60"/>
            </w:pPr>
            <w:r/>
            <w:r>
              <w:rPr>
                <w:sz w:val="20"/>
              </w:rPr>
              <w:t>Capability Formation Field Kit</w:t>
            </w:r>
          </w:p>
        </w:tc>
      </w:tr>
      <w:tr>
        <w:tc>
          <w:tcPr>
            <w:tcW w:type="dxa" w:w="1440"/>
          </w:tcPr>
          <w:p>
            <w:pPr>
              <w:spacing w:before="60" w:after="60"/>
            </w:pPr>
            <w:r/>
            <w:r>
              <w:rPr>
                <w:sz w:val="20"/>
              </w:rPr>
              <w:t>10:05</w:t>
            </w:r>
          </w:p>
        </w:tc>
        <w:tc>
          <w:tcPr>
            <w:tcW w:type="dxa" w:w="8064"/>
          </w:tcPr>
          <w:p>
            <w:pPr>
              <w:spacing w:before="60" w:after="60"/>
            </w:pPr>
            <w:r/>
            <w:r>
              <w:rPr>
                <w:sz w:val="20"/>
              </w:rPr>
              <w:t>Watch next</w:t>
            </w:r>
          </w:p>
        </w:tc>
      </w:tr>
    </w:tbl>
    <w:p>
      <w:pPr>
        <w:spacing w:before="0" w:after="120" w:line="300" w:lineRule="auto"/>
      </w:pPr>
      <w:r>
        <w:rPr>
          <w:b w:val="0"/>
          <w:i w:val="0"/>
          <w:sz w:val="12"/>
        </w:rPr>
      </w:r>
    </w:p>
    <w:p>
      <w:pPr>
        <w:spacing w:before="0" w:after="200" w:line="300" w:lineRule="auto"/>
      </w:pPr>
      <w:r>
        <w:rPr>
          <w:b w:val="0"/>
          <w:i/>
          <w:color w:val="5A6B82"/>
          <w:sz w:val="20"/>
        </w:rPr>
        <w:t>ESTIMATES ONLY. These timestamps are planning figures and must be reset from the finished export before publishing.</w:t>
      </w:r>
    </w:p>
    <w:p>
      <w:pPr>
        <w:spacing w:before="160" w:after="80" w:line="300" w:lineRule="auto"/>
      </w:pPr>
      <w:r>
        <w:rPr>
          <w:b/>
          <w:i w:val="0"/>
          <w:color w:val="0F2346"/>
          <w:sz w:val="22"/>
        </w:rPr>
        <w:t>Pinned comment</w:t>
      </w:r>
    </w:p>
    <w:p>
      <w:pPr>
        <w:spacing w:before="0" w:after="100" w:line="300" w:lineRule="auto"/>
      </w:pPr>
      <w:r>
        <w:rPr>
          <w:b w:val="0"/>
          <w:i w:val="0"/>
          <w:sz w:val="22"/>
        </w:rPr>
        <w:t>The line I keep coming back to: changing industries does not make you entry-level at everything. It makes you new to a context.</w:t>
      </w:r>
    </w:p>
    <w:p>
      <w:pPr>
        <w:spacing w:before="0" w:after="40" w:line="300" w:lineRule="auto"/>
      </w:pPr>
      <w:r>
        <w:rPr>
          <w:b w:val="0"/>
          <w:i w:val="0"/>
          <w:sz w:val="22"/>
        </w:rPr>
        <w:t xml:space="preserve"> </w:t>
      </w:r>
    </w:p>
    <w:p>
      <w:pPr>
        <w:spacing w:before="0" w:after="100" w:line="300" w:lineRule="auto"/>
      </w:pPr>
      <w:r>
        <w:rPr>
          <w:b w:val="0"/>
          <w:i w:val="0"/>
          <w:sz w:val="22"/>
        </w:rPr>
        <w:t>Try the one-page exercise from the end of the video:</w:t>
      </w:r>
    </w:p>
    <w:p>
      <w:pPr>
        <w:spacing w:before="0" w:after="100" w:line="300" w:lineRule="auto"/>
      </w:pPr>
      <w:r>
        <w:rPr>
          <w:b w:val="0"/>
          <w:i w:val="0"/>
          <w:sz w:val="22"/>
        </w:rPr>
        <w:t>WHAT TRAVELS - the judgment, decisions and patterns that stay useful.</w:t>
      </w:r>
    </w:p>
    <w:p>
      <w:pPr>
        <w:spacing w:before="0" w:after="100" w:line="300" w:lineRule="auto"/>
      </w:pPr>
      <w:r>
        <w:rPr>
          <w:b w:val="0"/>
          <w:i w:val="0"/>
          <w:sz w:val="22"/>
        </w:rPr>
        <w:t>WHAT CHANGES - language, stakeholders, incentives, rhythm, risk.</w:t>
      </w:r>
    </w:p>
    <w:p>
      <w:pPr>
        <w:spacing w:before="0" w:after="100" w:line="300" w:lineRule="auto"/>
      </w:pPr>
      <w:r>
        <w:rPr>
          <w:b w:val="0"/>
          <w:i w:val="0"/>
          <w:sz w:val="22"/>
        </w:rPr>
        <w:t>WHAT I MUST EARN - the credential or exposure nothing substitutes for.</w:t>
      </w:r>
    </w:p>
    <w:p>
      <w:pPr>
        <w:spacing w:before="0" w:after="40" w:line="300" w:lineRule="auto"/>
      </w:pPr>
      <w:r>
        <w:rPr>
          <w:b w:val="0"/>
          <w:i w:val="0"/>
          <w:sz w:val="22"/>
        </w:rPr>
        <w:t xml:space="preserve"> </w:t>
      </w:r>
    </w:p>
    <w:p>
      <w:pPr>
        <w:spacing w:before="0" w:after="100" w:line="300" w:lineRule="auto"/>
      </w:pPr>
      <w:r>
        <w:rPr>
          <w:b w:val="0"/>
          <w:i w:val="0"/>
          <w:sz w:val="22"/>
        </w:rPr>
        <w:t>Most people find the first column is longer than they feared and the third is shorter than they assumed.</w:t>
      </w:r>
    </w:p>
    <w:p>
      <w:pPr>
        <w:spacing w:before="0" w:after="40" w:line="300" w:lineRule="auto"/>
      </w:pPr>
      <w:r>
        <w:rPr>
          <w:b w:val="0"/>
          <w:i w:val="0"/>
          <w:sz w:val="22"/>
        </w:rPr>
        <w:t xml:space="preserve"> </w:t>
      </w:r>
    </w:p>
    <w:p>
      <w:pPr>
        <w:spacing w:before="0" w:after="100" w:line="300" w:lineRule="auto"/>
      </w:pPr>
      <w:r>
        <w:rPr>
          <w:b w:val="0"/>
          <w:i w:val="0"/>
          <w:sz w:val="22"/>
        </w:rPr>
        <w:t>The Field Kit is a structured way to work through it: https://temidayoafonja.com/fieldkit</w:t>
      </w:r>
    </w:p>
    <w:p>
      <w:pPr>
        <w:spacing w:before="0" w:after="40" w:line="300" w:lineRule="auto"/>
      </w:pPr>
      <w:r>
        <w:rPr>
          <w:b w:val="0"/>
          <w:i w:val="0"/>
          <w:sz w:val="22"/>
        </w:rPr>
        <w:t xml:space="preserve"> </w:t>
      </w:r>
    </w:p>
    <w:p>
      <w:pPr>
        <w:spacing w:before="0" w:after="100" w:line="300" w:lineRule="auto"/>
      </w:pPr>
      <w:r>
        <w:rPr>
          <w:b w:val="0"/>
          <w:i w:val="0"/>
          <w:sz w:val="22"/>
        </w:rPr>
        <w:t>Which column is hardest for you to fill in? Tell me in a reply.</w:t>
      </w:r>
    </w:p>
    <w:p>
      <w:pPr>
        <w:spacing w:before="200" w:after="80" w:line="300" w:lineRule="auto"/>
      </w:pPr>
      <w:r>
        <w:rPr>
          <w:b/>
          <w:i w:val="0"/>
          <w:color w:val="0F2346"/>
          <w:sz w:val="22"/>
        </w:rPr>
        <w:t>End screen</w:t>
      </w:r>
    </w:p>
    <w:tbl>
      <w:tblPr>
        <w:tblStyle w:val="TableGrid"/>
        <w:tblW w:type="auto" w:w="0"/>
        <w:jc w:val="left"/>
        <w:tblLook w:firstColumn="1" w:firstRow="1" w:lastColumn="0" w:lastRow="0" w:noHBand="0" w:noVBand="1" w:val="04A0"/>
      </w:tblPr>
      <w:tblGrid>
        <w:gridCol w:w="4752"/>
        <w:gridCol w:w="4752"/>
      </w:tblGrid>
      <w:tr>
        <w:tc>
          <w:tcPr>
            <w:tcW w:type="dxa" w:w="2736"/>
          </w:tcPr>
          <w:p>
            <w:pPr>
              <w:spacing w:before="60" w:after="60"/>
            </w:pPr>
            <w:r/>
            <w:r>
              <w:rPr>
                <w:b/>
                <w:color w:val="0F2346"/>
                <w:sz w:val="20"/>
              </w:rPr>
              <w:t>Element</w:t>
            </w:r>
          </w:p>
        </w:tc>
        <w:tc>
          <w:tcPr>
            <w:tcW w:type="dxa" w:w="6768"/>
          </w:tcPr>
          <w:p>
            <w:pPr>
              <w:spacing w:before="60" w:after="60"/>
            </w:pPr>
            <w:r/>
            <w:r>
              <w:rPr>
                <w:b/>
                <w:color w:val="0F2346"/>
                <w:sz w:val="20"/>
              </w:rPr>
              <w:t>Route</w:t>
            </w:r>
          </w:p>
        </w:tc>
      </w:tr>
      <w:tr>
        <w:tc>
          <w:tcPr>
            <w:tcW w:type="dxa" w:w="2736"/>
          </w:tcPr>
          <w:p>
            <w:pPr>
              <w:spacing w:before="60" w:after="60"/>
            </w:pPr>
            <w:r/>
            <w:r>
              <w:rPr>
                <w:sz w:val="20"/>
              </w:rPr>
              <w:t>Video card</w:t>
            </w:r>
          </w:p>
        </w:tc>
        <w:tc>
          <w:tcPr>
            <w:tcW w:type="dxa" w:w="6768"/>
          </w:tcPr>
          <w:p>
            <w:pPr>
              <w:spacing w:before="60" w:after="60"/>
            </w:pPr>
            <w:r/>
            <w:r>
              <w:rPr>
                <w:sz w:val="20"/>
              </w:rPr>
              <w:t>What to Do Before a Layoff Happens - Video 9</w:t>
            </w:r>
          </w:p>
        </w:tc>
      </w:tr>
      <w:tr>
        <w:tc>
          <w:tcPr>
            <w:tcW w:type="dxa" w:w="2736"/>
          </w:tcPr>
          <w:p>
            <w:pPr>
              <w:spacing w:before="60" w:after="60"/>
            </w:pPr>
            <w:r/>
            <w:r>
              <w:rPr>
                <w:sz w:val="20"/>
              </w:rPr>
              <w:t>Status</w:t>
            </w:r>
          </w:p>
        </w:tc>
        <w:tc>
          <w:tcPr>
            <w:tcW w:type="dxa" w:w="6768"/>
          </w:tcPr>
          <w:p>
            <w:pPr>
              <w:spacing w:before="60" w:after="60"/>
            </w:pPr>
            <w:r/>
            <w:r>
              <w:rPr>
                <w:sz w:val="20"/>
              </w:rPr>
              <w:t>Video 9 is not yet produced. No URL is invented here.</w:t>
            </w:r>
          </w:p>
        </w:tc>
      </w:tr>
      <w:tr>
        <w:tc>
          <w:tcPr>
            <w:tcW w:type="dxa" w:w="2736"/>
          </w:tcPr>
          <w:p>
            <w:pPr>
              <w:spacing w:before="60" w:after="60"/>
            </w:pPr>
            <w:r/>
            <w:r>
              <w:rPr>
                <w:sz w:val="20"/>
              </w:rPr>
              <w:t>Fallback until it publishes</w:t>
            </w:r>
          </w:p>
        </w:tc>
        <w:tc>
          <w:tcPr>
            <w:tcW w:type="dxa" w:w="6768"/>
          </w:tcPr>
          <w:p>
            <w:pPr>
              <w:spacing w:before="60" w:after="60"/>
            </w:pPr>
            <w:r/>
            <w:r>
              <w:rPr>
                <w:sz w:val="20"/>
              </w:rPr>
              <w:t>Career Portability: Career Pivots, Internal Moves &amp; Growth</w:t>
            </w:r>
          </w:p>
        </w:tc>
      </w:tr>
      <w:tr>
        <w:tc>
          <w:tcPr>
            <w:tcW w:type="dxa" w:w="2736"/>
          </w:tcPr>
          <w:p>
            <w:pPr>
              <w:spacing w:before="60" w:after="60"/>
            </w:pPr>
            <w:r/>
            <w:r>
              <w:rPr>
                <w:sz w:val="20"/>
              </w:rPr>
              <w:t>Subscribe element</w:t>
            </w:r>
          </w:p>
        </w:tc>
        <w:tc>
          <w:tcPr>
            <w:tcW w:type="dxa" w:w="6768"/>
          </w:tcPr>
          <w:p>
            <w:pPr>
              <w:spacing w:before="60" w:after="60"/>
            </w:pPr>
            <w:r/>
            <w:r>
              <w:rPr>
                <w:sz w:val="20"/>
              </w:rPr>
              <w:t>Bottom right, standard placement</w:t>
            </w:r>
          </w:p>
        </w:tc>
      </w:tr>
      <w:tr>
        <w:tc>
          <w:tcPr>
            <w:tcW w:type="dxa" w:w="2736"/>
          </w:tcPr>
          <w:p>
            <w:pPr>
              <w:spacing w:before="60" w:after="60"/>
            </w:pPr>
            <w:r/>
            <w:r>
              <w:rPr>
                <w:sz w:val="20"/>
              </w:rPr>
              <w:t>Clear zone</w:t>
            </w:r>
          </w:p>
        </w:tc>
        <w:tc>
          <w:tcPr>
            <w:tcW w:type="dxa" w:w="6768"/>
          </w:tcPr>
          <w:p>
            <w:pPr>
              <w:spacing w:before="60" w:after="60"/>
            </w:pPr>
            <w:r/>
            <w:r>
              <w:rPr>
                <w:sz w:val="20"/>
              </w:rPr>
              <w:t>Slide 12 keeps the right third empty for the card</w:t>
            </w:r>
          </w:p>
        </w:tc>
      </w:tr>
    </w:tbl>
    <w:p>
      <w:pPr>
        <w:spacing w:before="0" w:after="120" w:line="300" w:lineRule="auto"/>
      </w:pPr>
      <w:r>
        <w:rPr>
          <w:b w:val="0"/>
          <w:i w:val="0"/>
          <w:sz w:val="12"/>
        </w:rPr>
      </w:r>
    </w:p>
    <w:p>
      <w:pPr>
        <w:spacing w:before="440" w:after="200" w:line="300" w:lineRule="auto"/>
      </w:pPr>
      <w:r>
        <w:rPr>
          <w:b/>
          <w:i w:val="0"/>
          <w:color w:val="0F2346"/>
          <w:sz w:val="32"/>
        </w:rPr>
        <w:t>9. Editor direction</w:t>
      </w:r>
    </w:p>
    <w:p>
      <w:pPr>
        <w:spacing w:before="0" w:after="80" w:line="300" w:lineRule="auto"/>
      </w:pPr>
      <w:r>
        <w:rPr>
          <w:b/>
          <w:i w:val="0"/>
          <w:color w:val="0F2346"/>
          <w:sz w:val="22"/>
        </w:rPr>
        <w:t>Lower thirds</w:t>
      </w:r>
    </w:p>
    <w:tbl>
      <w:tblPr>
        <w:tblStyle w:val="TableGrid"/>
        <w:tblW w:type="auto" w:w="0"/>
        <w:jc w:val="left"/>
        <w:tblLook w:firstColumn="1" w:firstRow="1" w:lastColumn="0" w:lastRow="0" w:noHBand="0" w:noVBand="1" w:val="04A0"/>
      </w:tblPr>
      <w:tblGrid>
        <w:gridCol w:w="4752"/>
        <w:gridCol w:w="4752"/>
      </w:tblGrid>
      <w:tr>
        <w:tc>
          <w:tcPr>
            <w:tcW w:type="dxa" w:w="1440"/>
          </w:tcPr>
          <w:p>
            <w:pPr>
              <w:spacing w:before="60" w:after="60"/>
            </w:pPr>
            <w:r/>
            <w:r>
              <w:rPr>
                <w:b/>
                <w:color w:val="0F2346"/>
                <w:sz w:val="20"/>
              </w:rPr>
              <w:t>Time</w:t>
            </w:r>
          </w:p>
        </w:tc>
        <w:tc>
          <w:tcPr>
            <w:tcW w:type="dxa" w:w="8064"/>
          </w:tcPr>
          <w:p>
            <w:pPr>
              <w:spacing w:before="60" w:after="60"/>
            </w:pPr>
            <w:r/>
            <w:r>
              <w:rPr>
                <w:b/>
                <w:color w:val="0F2346"/>
                <w:sz w:val="20"/>
              </w:rPr>
              <w:t>Copy</w:t>
            </w:r>
          </w:p>
        </w:tc>
      </w:tr>
      <w:tr>
        <w:tc>
          <w:tcPr>
            <w:tcW w:type="dxa" w:w="1440"/>
          </w:tcPr>
          <w:p>
            <w:pPr>
              <w:spacing w:before="60" w:after="60"/>
            </w:pPr>
            <w:r/>
            <w:r>
              <w:rPr>
                <w:sz w:val="20"/>
              </w:rPr>
              <w:t>0:35</w:t>
            </w:r>
          </w:p>
        </w:tc>
        <w:tc>
          <w:tcPr>
            <w:tcW w:type="dxa" w:w="8064"/>
          </w:tcPr>
          <w:p>
            <w:pPr>
              <w:spacing w:before="60" w:after="60"/>
            </w:pPr>
            <w:r/>
            <w:r>
              <w:rPr>
                <w:sz w:val="20"/>
              </w:rPr>
              <w:t>Temidayo Afonja</w:t>
            </w:r>
          </w:p>
        </w:tc>
      </w:tr>
      <w:tr>
        <w:tc>
          <w:tcPr>
            <w:tcW w:type="dxa" w:w="1440"/>
          </w:tcPr>
          <w:p>
            <w:pPr>
              <w:spacing w:before="60" w:after="60"/>
            </w:pPr>
            <w:r/>
            <w:r>
              <w:rPr>
                <w:sz w:val="20"/>
              </w:rPr>
              <w:t>0:40</w:t>
            </w:r>
          </w:p>
        </w:tc>
        <w:tc>
          <w:tcPr>
            <w:tcW w:type="dxa" w:w="8064"/>
          </w:tcPr>
          <w:p>
            <w:pPr>
              <w:spacing w:before="60" w:after="60"/>
            </w:pPr>
            <w:r/>
            <w:r>
              <w:rPr>
                <w:sz w:val="20"/>
              </w:rPr>
              <w:t>Capability Formation</w:t>
            </w:r>
          </w:p>
        </w:tc>
      </w:tr>
      <w:tr>
        <w:tc>
          <w:tcPr>
            <w:tcW w:type="dxa" w:w="1440"/>
          </w:tcPr>
          <w:p>
            <w:pPr>
              <w:spacing w:before="60" w:after="60"/>
            </w:pPr>
            <w:r/>
            <w:r>
              <w:rPr>
                <w:sz w:val="20"/>
              </w:rPr>
              <w:t>9:33</w:t>
            </w:r>
          </w:p>
        </w:tc>
        <w:tc>
          <w:tcPr>
            <w:tcW w:type="dxa" w:w="8064"/>
          </w:tcPr>
          <w:p>
            <w:pPr>
              <w:spacing w:before="60" w:after="60"/>
            </w:pPr>
            <w:r/>
            <w:r>
              <w:rPr>
                <w:sz w:val="20"/>
              </w:rPr>
              <w:t>Capability Formation Field Kit / temidayoafonja.com/fieldkit</w:t>
            </w:r>
          </w:p>
        </w:tc>
      </w:tr>
    </w:tbl>
    <w:p>
      <w:pPr>
        <w:spacing w:before="0" w:after="120" w:line="300" w:lineRule="auto"/>
      </w:pPr>
      <w:r>
        <w:rPr>
          <w:b w:val="0"/>
          <w:i w:val="0"/>
          <w:sz w:val="12"/>
        </w:rPr>
      </w:r>
    </w:p>
    <w:p>
      <w:pPr>
        <w:spacing w:before="160" w:after="80" w:line="300" w:lineRule="auto"/>
      </w:pPr>
      <w:r>
        <w:rPr>
          <w:b/>
          <w:i w:val="0"/>
          <w:color w:val="0F2346"/>
          <w:sz w:val="22"/>
        </w:rPr>
        <w:t>On-screen text</w:t>
      </w:r>
    </w:p>
    <w:tbl>
      <w:tblPr>
        <w:tblStyle w:val="TableGrid"/>
        <w:tblW w:type="auto" w:w="0"/>
        <w:jc w:val="left"/>
        <w:tblLook w:firstColumn="1" w:firstRow="1" w:lastColumn="0" w:lastRow="0" w:noHBand="0" w:noVBand="1" w:val="04A0"/>
      </w:tblPr>
      <w:tblGrid>
        <w:gridCol w:w="3168"/>
        <w:gridCol w:w="3168"/>
        <w:gridCol w:w="3168"/>
      </w:tblGrid>
      <w:tr>
        <w:tc>
          <w:tcPr>
            <w:tcW w:type="dxa" w:w="1152"/>
          </w:tcPr>
          <w:p>
            <w:pPr>
              <w:spacing w:before="60" w:after="60"/>
            </w:pPr>
            <w:r/>
            <w:r>
              <w:rPr>
                <w:b/>
                <w:color w:val="0F2346"/>
                <w:sz w:val="20"/>
              </w:rPr>
              <w:t>Time</w:t>
            </w:r>
          </w:p>
        </w:tc>
        <w:tc>
          <w:tcPr>
            <w:tcW w:type="dxa" w:w="3744"/>
          </w:tcPr>
          <w:p>
            <w:pPr>
              <w:spacing w:before="60" w:after="60"/>
            </w:pPr>
            <w:r/>
            <w:r>
              <w:rPr>
                <w:b/>
                <w:color w:val="0F2346"/>
                <w:sz w:val="20"/>
              </w:rPr>
              <w:t>Text</w:t>
            </w:r>
          </w:p>
        </w:tc>
        <w:tc>
          <w:tcPr>
            <w:tcW w:type="dxa" w:w="4608"/>
          </w:tcPr>
          <w:p>
            <w:pPr>
              <w:spacing w:before="60" w:after="60"/>
            </w:pPr>
            <w:r/>
            <w:r>
              <w:rPr>
                <w:b/>
                <w:color w:val="0F2346"/>
                <w:sz w:val="20"/>
              </w:rPr>
              <w:t>Note</w:t>
            </w:r>
          </w:p>
        </w:tc>
      </w:tr>
      <w:tr>
        <w:tc>
          <w:tcPr>
            <w:tcW w:type="dxa" w:w="1152"/>
          </w:tcPr>
          <w:p>
            <w:pPr>
              <w:spacing w:before="60" w:after="60"/>
            </w:pPr>
            <w:r/>
            <w:r>
              <w:rPr>
                <w:sz w:val="20"/>
              </w:rPr>
              <w:t>2:05</w:t>
            </w:r>
          </w:p>
        </w:tc>
        <w:tc>
          <w:tcPr>
            <w:tcW w:type="dxa" w:w="3744"/>
          </w:tcPr>
          <w:p>
            <w:pPr>
              <w:spacing w:before="60" w:after="60"/>
            </w:pPr>
            <w:r/>
            <w:r>
              <w:rPr>
                <w:sz w:val="20"/>
              </w:rPr>
              <w:t>CONTEXT IS LEARNABLE</w:t>
            </w:r>
          </w:p>
        </w:tc>
        <w:tc>
          <w:tcPr>
            <w:tcW w:type="dxa" w:w="4608"/>
          </w:tcPr>
          <w:p>
            <w:pPr>
              <w:spacing w:before="60" w:after="60"/>
            </w:pPr>
            <w:r/>
            <w:r>
              <w:rPr>
                <w:sz w:val="20"/>
              </w:rPr>
              <w:t>Small lower third, cream on navy. Two seconds. Do not compete with slide 2.</w:t>
            </w:r>
          </w:p>
        </w:tc>
      </w:tr>
      <w:tr>
        <w:tc>
          <w:tcPr>
            <w:tcW w:type="dxa" w:w="1152"/>
          </w:tcPr>
          <w:p>
            <w:pPr>
              <w:spacing w:before="60" w:after="60"/>
            </w:pPr>
            <w:r/>
            <w:r>
              <w:rPr>
                <w:sz w:val="20"/>
              </w:rPr>
              <w:t>5:55</w:t>
            </w:r>
          </w:p>
        </w:tc>
        <w:tc>
          <w:tcPr>
            <w:tcW w:type="dxa" w:w="3744"/>
          </w:tcPr>
          <w:p>
            <w:pPr>
              <w:spacing w:before="60" w:after="60"/>
            </w:pPr>
            <w:r/>
            <w:r>
              <w:rPr>
                <w:sz w:val="20"/>
              </w:rPr>
              <w:t>JUDGMENT, WITH EVIDENCE ATTACHED</w:t>
            </w:r>
          </w:p>
        </w:tc>
        <w:tc>
          <w:tcPr>
            <w:tcW w:type="dxa" w:w="4608"/>
          </w:tcPr>
          <w:p>
            <w:pPr>
              <w:spacing w:before="60" w:after="60"/>
            </w:pPr>
            <w:r/>
            <w:r>
              <w:rPr>
                <w:sz w:val="20"/>
              </w:rPr>
              <w:t>Matches slide 8 wording exactly.</w:t>
            </w:r>
          </w:p>
        </w:tc>
      </w:tr>
      <w:tr>
        <w:tc>
          <w:tcPr>
            <w:tcW w:type="dxa" w:w="1152"/>
          </w:tcPr>
          <w:p>
            <w:pPr>
              <w:spacing w:before="60" w:after="60"/>
            </w:pPr>
            <w:r/>
            <w:r>
              <w:rPr>
                <w:sz w:val="20"/>
              </w:rPr>
              <w:t>9:33</w:t>
            </w:r>
          </w:p>
        </w:tc>
        <w:tc>
          <w:tcPr>
            <w:tcW w:type="dxa" w:w="3744"/>
          </w:tcPr>
          <w:p>
            <w:pPr>
              <w:spacing w:before="60" w:after="60"/>
            </w:pPr>
            <w:r/>
            <w:r>
              <w:rPr>
                <w:sz w:val="20"/>
              </w:rPr>
              <w:t>temidayoafonja.com/fieldkit</w:t>
            </w:r>
          </w:p>
        </w:tc>
        <w:tc>
          <w:tcPr>
            <w:tcW w:type="dxa" w:w="4608"/>
          </w:tcPr>
          <w:p>
            <w:pPr>
              <w:spacing w:before="60" w:after="60"/>
            </w:pPr>
            <w:r/>
            <w:r>
              <w:rPr>
                <w:sz w:val="20"/>
              </w:rPr>
              <w:t>Persist to the end of the CTA block.</w:t>
            </w:r>
          </w:p>
        </w:tc>
      </w:tr>
    </w:tbl>
    <w:p>
      <w:pPr>
        <w:spacing w:before="0" w:after="120" w:line="300" w:lineRule="auto"/>
      </w:pPr>
      <w:r>
        <w:rPr>
          <w:b w:val="0"/>
          <w:i w:val="0"/>
          <w:sz w:val="12"/>
        </w:rPr>
      </w:r>
    </w:p>
    <w:p>
      <w:pPr>
        <w:spacing w:before="160" w:after="80" w:line="300" w:lineRule="auto"/>
      </w:pPr>
      <w:r>
        <w:rPr>
          <w:b/>
          <w:i w:val="0"/>
          <w:color w:val="0F2346"/>
          <w:sz w:val="22"/>
        </w:rPr>
        <w:t>B-roll</w:t>
      </w:r>
    </w:p>
    <w:tbl>
      <w:tblPr>
        <w:tblStyle w:val="TableGrid"/>
        <w:tblW w:type="auto" w:w="0"/>
        <w:jc w:val="left"/>
        <w:tblLook w:firstColumn="1" w:firstRow="1" w:lastColumn="0" w:lastRow="0" w:noHBand="0" w:noVBand="1" w:val="04A0"/>
      </w:tblPr>
      <w:tblGrid>
        <w:gridCol w:w="4752"/>
        <w:gridCol w:w="4752"/>
      </w:tblGrid>
      <w:tr>
        <w:tc>
          <w:tcPr>
            <w:tcW w:type="dxa" w:w="2016"/>
          </w:tcPr>
          <w:p>
            <w:pPr>
              <w:spacing w:before="60" w:after="60"/>
            </w:pPr>
            <w:r/>
            <w:r>
              <w:rPr>
                <w:b/>
                <w:color w:val="0F2346"/>
                <w:sz w:val="20"/>
              </w:rPr>
              <w:t>Block</w:t>
            </w:r>
          </w:p>
        </w:tc>
        <w:tc>
          <w:tcPr>
            <w:tcW w:type="dxa" w:w="7488"/>
          </w:tcPr>
          <w:p>
            <w:pPr>
              <w:spacing w:before="60" w:after="60"/>
            </w:pPr>
            <w:r/>
            <w:r>
              <w:rPr>
                <w:b/>
                <w:color w:val="0F2346"/>
                <w:sz w:val="20"/>
              </w:rPr>
              <w:t>Guidance</w:t>
            </w:r>
          </w:p>
        </w:tc>
      </w:tr>
      <w:tr>
        <w:tc>
          <w:tcPr>
            <w:tcW w:type="dxa" w:w="2016"/>
          </w:tcPr>
          <w:p>
            <w:pPr>
              <w:spacing w:before="60" w:after="60"/>
            </w:pPr>
            <w:r/>
            <w:r>
              <w:rPr>
                <w:sz w:val="20"/>
              </w:rPr>
              <w:t>0:30-1:15</w:t>
            </w:r>
          </w:p>
        </w:tc>
        <w:tc>
          <w:tcPr>
            <w:tcW w:type="dxa" w:w="7488"/>
          </w:tcPr>
          <w:p>
            <w:pPr>
              <w:spacing w:before="60" w:after="60"/>
            </w:pPr>
            <w:r/>
            <w:r>
              <w:rPr>
                <w:sz w:val="20"/>
              </w:rPr>
              <w:t>Hold on Temidayo, full screen. No b-roll. The early-proof block is the only personal passage in the video and should not be illustrated.</w:t>
            </w:r>
          </w:p>
        </w:tc>
      </w:tr>
      <w:tr>
        <w:tc>
          <w:tcPr>
            <w:tcW w:type="dxa" w:w="2016"/>
          </w:tcPr>
          <w:p>
            <w:pPr>
              <w:spacing w:before="60" w:after="60"/>
            </w:pPr>
            <w:r/>
            <w:r>
              <w:rPr>
                <w:sz w:val="20"/>
              </w:rPr>
              <w:t>2:15-4:10</w:t>
            </w:r>
          </w:p>
        </w:tc>
        <w:tc>
          <w:tcPr>
            <w:tcW w:type="dxa" w:w="7488"/>
          </w:tcPr>
          <w:p>
            <w:pPr>
              <w:spacing w:before="60" w:after="60"/>
            </w:pPr>
            <w:r/>
            <w:r>
              <w:rPr>
                <w:sz w:val="20"/>
              </w:rPr>
              <w:t>Optional: a slow push in on slide 3 as each row lands. Nothing literal - no office stock, no handshakes, no laptops.</w:t>
            </w:r>
          </w:p>
        </w:tc>
      </w:tr>
      <w:tr>
        <w:tc>
          <w:tcPr>
            <w:tcW w:type="dxa" w:w="2016"/>
          </w:tcPr>
          <w:p>
            <w:pPr>
              <w:spacing w:before="60" w:after="60"/>
            </w:pPr>
            <w:r/>
            <w:r>
              <w:rPr>
                <w:sz w:val="20"/>
              </w:rPr>
              <w:t>8:30-9:30</w:t>
            </w:r>
          </w:p>
        </w:tc>
        <w:tc>
          <w:tcPr>
            <w:tcW w:type="dxa" w:w="7488"/>
          </w:tcPr>
          <w:p>
            <w:pPr>
              <w:spacing w:before="60" w:after="60"/>
            </w:pPr>
            <w:r/>
            <w:r>
              <w:rPr>
                <w:sz w:val="20"/>
              </w:rPr>
              <w:t>None. The three columns should stay on screen so the viewer can copy the headings.</w:t>
            </w:r>
          </w:p>
        </w:tc>
      </w:tr>
    </w:tbl>
    <w:p>
      <w:pPr>
        <w:spacing w:before="0" w:after="120" w:line="300" w:lineRule="auto"/>
      </w:pPr>
      <w:r>
        <w:rPr>
          <w:b w:val="0"/>
          <w:i w:val="0"/>
          <w:sz w:val="12"/>
        </w:rPr>
      </w:r>
    </w:p>
    <w:p>
      <w:pPr>
        <w:spacing w:before="160" w:after="80" w:line="300" w:lineRule="auto"/>
      </w:pPr>
      <w:r>
        <w:rPr>
          <w:b/>
          <w:i w:val="0"/>
          <w:color w:val="0F2346"/>
          <w:sz w:val="22"/>
        </w:rPr>
        <w:t>Editor notes</w:t>
      </w:r>
    </w:p>
    <w:p>
      <w:pPr>
        <w:spacing w:before="0" w:after="120" w:line="300" w:lineRule="auto"/>
      </w:pPr>
      <w:r>
        <w:rPr>
          <w:b w:val="0"/>
          <w:i w:val="0"/>
          <w:sz w:val="22"/>
        </w:rPr>
        <w:t>-  No opening title card. Open full screen on Temidayo; slide 1 lands only after the hook and the viewer promise, at roughly 0:30.</w:t>
      </w:r>
    </w:p>
    <w:p>
      <w:pPr>
        <w:spacing w:before="0" w:after="120" w:line="300" w:lineRule="auto"/>
      </w:pPr>
      <w:r>
        <w:rPr>
          <w:b w:val="0"/>
          <w:i w:val="0"/>
          <w:sz w:val="22"/>
        </w:rPr>
        <w:t>-  Reveal builds are duplicate sequential slides, not PowerPoint animations. Advance in the order given by Video_8_Reveal_Order_Sheet.png - 24 frames.</w:t>
      </w:r>
    </w:p>
    <w:p>
      <w:pPr>
        <w:spacing w:before="0" w:after="120" w:line="300" w:lineRule="auto"/>
      </w:pPr>
      <w:r>
        <w:rPr>
          <w:b w:val="0"/>
          <w:i w:val="0"/>
          <w:sz w:val="22"/>
        </w:rPr>
        <w:t>-  Slide 12 keeps its right third empty for the YouTube end-screen element. Do not place graphics there.</w:t>
      </w:r>
    </w:p>
    <w:p>
      <w:pPr>
        <w:spacing w:before="0" w:after="120" w:line="300" w:lineRule="auto"/>
      </w:pPr>
      <w:r>
        <w:rPr>
          <w:b w:val="0"/>
          <w:i w:val="0"/>
          <w:sz w:val="22"/>
        </w:rPr>
        <w:t>-  No employer logos anywhere, on screen or in lower thirds, even though Deloitte, EY and PwC are named in the spoken script.</w:t>
      </w:r>
    </w:p>
    <w:p>
      <w:pPr>
        <w:spacing w:before="0" w:after="120" w:line="300" w:lineRule="auto"/>
      </w:pPr>
      <w:r>
        <w:rPr>
          <w:b w:val="0"/>
          <w:i w:val="0"/>
          <w:sz w:val="22"/>
        </w:rPr>
        <w:t>-  Chapter timestamps in this package are planning estimates. Reset them against the real export before publishing.</w:t>
      </w:r>
    </w:p>
    <w:p>
      <w:pPr>
        <w:spacing w:before="0" w:after="120" w:line="300" w:lineRule="auto"/>
      </w:pPr>
      <w:r>
        <w:rPr>
          <w:b w:val="0"/>
          <w:i w:val="0"/>
          <w:sz w:val="22"/>
        </w:rPr>
        <w:t>-  One offer only. No Keep the Proof, no Career Decision Evidence Check, no Maven session, no book, anywhere in Video 8.</w:t>
      </w:r>
    </w:p>
    <w:p>
      <w:pPr>
        <w:spacing w:before="440" w:after="200" w:line="300" w:lineRule="auto"/>
      </w:pPr>
      <w:r>
        <w:rPr>
          <w:b/>
          <w:i w:val="0"/>
          <w:color w:val="0F2346"/>
          <w:sz w:val="32"/>
        </w:rPr>
        <w:t>10. Final pre-recording and delivery checks</w:t>
      </w:r>
    </w:p>
    <w:p>
      <w:pPr>
        <w:spacing w:before="0" w:after="120" w:line="300" w:lineRule="auto"/>
      </w:pPr>
      <w:r>
        <w:rPr>
          <w:b w:val="0"/>
          <w:i w:val="0"/>
          <w:sz w:val="22"/>
        </w:rPr>
        <w:t>[ ]  Record 4K at 30fps; export 1080p at 30fps. Audio at 48 kHz.</w:t>
      </w:r>
    </w:p>
    <w:p>
      <w:pPr>
        <w:spacing w:before="0" w:after="120" w:line="300" w:lineRule="auto"/>
      </w:pPr>
      <w:r>
        <w:rPr>
          <w:b w:val="0"/>
          <w:i w:val="0"/>
          <w:sz w:val="22"/>
        </w:rPr>
        <w:t>[ ]  More light on Temidayo - the single most important recording improvement carried across the channel.</w:t>
      </w:r>
    </w:p>
    <w:p>
      <w:pPr>
        <w:spacing w:before="0" w:after="120" w:line="300" w:lineRule="auto"/>
      </w:pPr>
      <w:r>
        <w:rPr>
          <w:b w:val="0"/>
          <w:i w:val="0"/>
          <w:sz w:val="22"/>
        </w:rPr>
        <w:t>[ ]  Confirm the spoken script matches Video_8_Recording_Script_Clean.txt word for word before the first take.</w:t>
      </w:r>
    </w:p>
    <w:p>
      <w:pPr>
        <w:spacing w:before="0" w:after="120" w:line="300" w:lineRule="auto"/>
      </w:pPr>
      <w:r>
        <w:rPr>
          <w:b w:val="0"/>
          <w:i w:val="0"/>
          <w:sz w:val="22"/>
        </w:rPr>
        <w:t>[ ]  Confirm the CTA URL on screen and in the description is temidayoafonja.com/fieldkit.</w:t>
      </w:r>
    </w:p>
    <w:p>
      <w:pPr>
        <w:spacing w:before="0" w:after="120" w:line="300" w:lineRule="auto"/>
      </w:pPr>
      <w:r>
        <w:rPr>
          <w:b w:val="0"/>
          <w:i w:val="0"/>
          <w:sz w:val="22"/>
        </w:rPr>
        <w:t>[ ]  Confirm the approved Canva thumbnail reads YOUR EXPERIENCE STILL COUNTS and is 1280 x 720.</w:t>
      </w:r>
    </w:p>
    <w:p>
      <w:pPr>
        <w:spacing w:before="0" w:after="120" w:line="300" w:lineRule="auto"/>
      </w:pPr>
      <w:r>
        <w:rPr>
          <w:b w:val="0"/>
          <w:i w:val="0"/>
          <w:sz w:val="22"/>
        </w:rPr>
        <w:t>[ ]  Set chapter timestamps from the finished export, not from this package.</w:t>
      </w:r>
    </w:p>
    <w:p>
      <w:pPr>
        <w:spacing w:before="0" w:after="120" w:line="300" w:lineRule="auto"/>
      </w:pPr>
      <w:r>
        <w:rPr>
          <w:b w:val="0"/>
          <w:i w:val="0"/>
          <w:sz w:val="22"/>
        </w:rPr>
        <w:t>[ ]  Video 9 has not been produced. Point the end-screen card at the Career Portability playlist until it publishes.</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