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TIMING AND REHEARSAL</w:t>
      </w:r>
    </w:p>
    <w:p>
      <w:pPr>
        <w:spacing w:after="160" w:before="240"/>
      </w:pPr>
      <w:r>
        <w:rPr>
          <w:rFonts w:ascii="Cormorant Garamond" w:cs="Cormorant Garamond" w:eastAsia="Cormorant Garamond" w:hAnsi="Cormorant Garamond"/>
          <w:b/>
          <w:bCs/>
          <w:color w:val="0F2347"/>
          <w:sz w:val="40"/>
          <w:szCs w:val="40"/>
        </w:rPr>
        <w:t xml:space="preserve">Capability Position Read</w:t>
      </w:r>
    </w:p>
    <w:p>
      <w:pPr>
        <w:pBdr>
          <w:bottom w:val="single" w:color="C9A84C" w:sz="6"/>
        </w:pBdr>
        <w:spacing w:after="120" w:line="276"/>
      </w:pPr>
      <w:r>
        <w:rPr>
          <w:rFonts w:ascii="DM Sans" w:cs="DM Sans" w:eastAsia="DM Sans" w:hAnsi="DM Sans"/>
          <w:b/>
          <w:bCs/>
          <w:color w:val="1A1A1A"/>
          <w:sz w:val="20"/>
          <w:szCs w:val="20"/>
        </w:rPr>
        <w:t>v1.4 · Deck v4.11 · Instrument v1.1 · Two-hour calendar block</w:t>
      </w:r>
    </w:p>
    <w:p>
      <w:pPr>
        <w:spacing w:after="120" w:line="276"/>
      </w:pPr>
      <w:r>
        <w:rPr>
          <w:rFonts w:ascii="DM Sans" w:cs="DM Sans" w:eastAsia="DM Sans" w:hAnsi="DM Sans"/>
          <w:color w:val="1A1A1A"/>
          <w:sz w:val="20"/>
          <w:szCs w:val="20"/>
        </w:rPr>
        <w:t>Schedule and market this as a two-hour live Capability Position Read. The two-hour calendar block is the binding constraint; do not advertise a minute-precise runtime. The internal architecture is a designed core of about 105 to 107 minutes — roughly 105 minutes of teaching and scoring plus a two-minute Part B release — followed by about 13 minutes of Q&amp;A, appendix applications and overrun protection. The price remains $249; the calendar block does not change it.</w:t>
      </w:r>
    </w:p>
    <w:p>
      <w:pPr>
        <w:spacing w:after="200" w:line="276"/>
      </w:pPr>
      <w:r>
        <w:rPr>
          <w:rFonts w:ascii="DM Sans" w:cs="DM Sans" w:eastAsia="DM Sans" w:hAnsi="DM Sans"/>
          <w:color w:val="1A1A1A"/>
          <w:sz w:val="20"/>
          <w:szCs w:val="20"/>
        </w:rPr>
        <w:t>The designed core (about 105 to 107 minutes) remains a design hypothesis until two full rehearsals have completed it inside the two-hour block. The legibility slide was removed from the 84–88 band in v4.8 rather than waiting for rehearsal to prove that three slides in five minutes was too much; the material survives on workbook page 25, in the appendix, in Q&amp;A and in the replay.</w:t>
      </w:r>
    </w:p>
    <w:p>
      <w:pPr>
        <w:spacing w:after="100" w:before="220"/>
      </w:pPr>
      <w:r>
        <w:rPr>
          <w:rFonts w:ascii="DM Sans" w:cs="DM Sans" w:eastAsia="DM Sans" w:hAnsi="DM Sans"/>
          <w:b/>
          <w:bCs/>
          <w:color w:val="0F2347"/>
          <w:sz w:val="22"/>
          <w:szCs w:val="22"/>
        </w:rPr>
        <w:t xml:space="preserve">The core sequence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600"/>
        <w:gridCol w:w="2200"/>
        <w:gridCol w:w="2700"/>
      </w:tblGrid>
      <w:tr>
        <w:trPr>
          <w:tblHeader/>
        </w:trPr>
        <w:tc>
          <w:tcPr>
            <w:tcW w:type="dxa" w:w="10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Minutes</w:t>
            </w:r>
          </w:p>
        </w:tc>
        <w:tc>
          <w:tcPr>
            <w:tcW w:type="dxa" w:w="9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Slides</w:t>
            </w:r>
          </w:p>
        </w:tc>
        <w:tc>
          <w:tcPr>
            <w:tcW w:type="dxa" w:w="36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What happens</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Participant action</w:t>
            </w:r>
          </w:p>
        </w:tc>
        <w:tc>
          <w:tcPr>
            <w:tcW w:type="dxa" w:w="27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Facilitation note</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0–8</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1–6</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Boundary, unnamed March 2026 story, institutional vantage and reframe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None</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Story spoken, never read from the screen</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8–14</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7–9</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Density and Optionality definitions, with the brief AI application</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None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Slide 9 takes 60–90 seconds from this block</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14–24</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10–15</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Initial score across all twelve statements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Score twelve, total both axes</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Part A only. No evidence requested</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24–31</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16–18</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First placement and psychological safety</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Tick a square, write confidence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Anonymous four-square count. Slide 17 never cut</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31–33</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19</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RELEASE PART B</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Open Part B; keep Part A open</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Visible “Open Part B now” transition slide. Two minutes for release, file opening and navigation. Only after every first placement is complete</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33–48</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20–26</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Evidence protocol, three misreadings, promotion application and correction map</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Mark statements to rescore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Slide 24 takes 90 seconds from this block</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48–64</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27</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Evidence-backed rescore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Rescore twelve with evidence lines</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Sixteen minutes. Never cut</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64–71</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28–29</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Re-total, sensitivity check and second placement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Re-total, run the check, place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cut. Three anonymous sensitivity counts</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71–77</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30–31</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What moved and what the comparison means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Complete the comparison page</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Three anonymous counts. State no expectation</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77–84</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32–34</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State costs and the participant’s own cost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Write four readings and one line</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First compression point</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84–88</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35–36</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Move categories and Next-Move Decision setup</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None yet</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Legibility slide removed from the core in v4.8</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88–96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37</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Eight minutes of protected writing</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Write all ten lines</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below eight minutes</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96–102</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38</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Two or three voluntary reads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Two or three read aloud</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Permission script first. Second compression point</w:t>
            </w:r>
          </w:p>
        </w:tc>
      </w:tr>
      <w:tr>
        <w:tc>
          <w:tcPr>
            <w:tcW w:type="dxa" w:w="10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102–107</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39–40</w:t>
            </w:r>
          </w:p>
        </w:tc>
        <w:tc>
          <w:tcPr>
            <w:tcW w:type="dxa" w:w="36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Field Kit, thirty-day process, ninety-day rescore and close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Put a rescore date in line 10</w:t>
            </w:r>
          </w:p>
        </w:tc>
        <w:tc>
          <w:tcPr>
            <w:tcW w:type="dxa" w:w="27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cut</w:t>
            </w:r>
          </w:p>
        </w:tc>
      </w:tr>
      <w:tr>
        <w:tc>
          <w:tcPr>
            <w:tcW w:type="dxa" w:w="1000"/>
            <w:tcMar>
              <w:top w:type="dxa" w:w="60"/>
              <w:left w:type="dxa" w:w="90"/>
              <w:bottom w:type="dxa" w:w="60"/>
              <w:right w:type="dxa" w:w="90"/>
            </w:tcMar>
          </w:tcPr>
          <w:p>
            <w:pPr>
              <w:spacing w:after="20"/>
            </w:pPr>
            <w:r>
              <w:rPr>
                <w:rFonts w:ascii="DM Sans" w:cs="DM Sans" w:eastAsia="DM Sans" w:hAnsi="DM Sans"/>
                <w:color w:val="1A1A1A"/>
                <w:sz w:val="15"/>
                <w:szCs w:val="15"/>
              </w:rPr>
              <w:t>107–120</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41–43</w:t>
            </w:r>
          </w:p>
        </w:tc>
        <w:tc>
          <w:tcPr>
            <w:tcW w:type="dxa" w:w="3600"/>
            <w:tcMar>
              <w:top w:type="dxa" w:w="60"/>
              <w:left w:type="dxa" w:w="90"/>
              <w:bottom w:type="dxa" w:w="60"/>
              <w:right w:type="dxa" w:w="90"/>
            </w:tcMar>
          </w:tcPr>
          <w:p>
            <w:pPr>
              <w:spacing w:after="20"/>
            </w:pPr>
            <w:r>
              <w:rPr>
                <w:rFonts w:ascii="DM Sans" w:cs="DM Sans" w:eastAsia="DM Sans" w:hAnsi="DM Sans"/>
                <w:color w:val="1A1A1A"/>
                <w:sz w:val="15"/>
                <w:szCs w:val="15"/>
              </w:rPr>
              <w:t xml:space="preserve">Q&amp;A and optional appendix applications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Optional</w:t>
            </w:r>
          </w:p>
        </w:tc>
        <w:tc>
          <w:tcPr>
            <w:tcW w:type="dxa" w:w="2700"/>
            <w:tcMar>
              <w:top w:type="dxa" w:w="60"/>
              <w:left w:type="dxa" w:w="90"/>
              <w:bottom w:type="dxa" w:w="60"/>
              <w:right w:type="dxa" w:w="90"/>
            </w:tcMar>
          </w:tcPr>
          <w:p>
            <w:pPr>
              <w:spacing w:after="20"/>
            </w:pPr>
            <w:r>
              <w:rPr>
                <w:rFonts w:ascii="DM Sans" w:cs="DM Sans" w:eastAsia="DM Sans" w:hAnsi="DM Sans"/>
                <w:color w:val="1A1A1A"/>
                <w:sz w:val="15"/>
                <w:szCs w:val="15"/>
              </w:rPr>
              <w:t xml:space="preserve">Position Exposure Signals, AI and Compounding, legibility</w:t>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Never cut</w:t>
      </w:r>
    </w:p>
    <w:p>
      <w:pPr>
        <w:spacing w:after="120" w:line="276"/>
      </w:pPr>
      <w:r>
        <w:rPr>
          <w:rFonts w:ascii="DM Sans" w:cs="DM Sans" w:eastAsia="DM Sans" w:hAnsi="DM Sans"/>
          <w:color w:val="1A1A1A"/>
          <w:sz w:val="20"/>
          <w:szCs w:val="20"/>
        </w:rPr>
        <w:t xml:space="preserve">Psychological safety · the evidence-backed rescore · second placement · the sensitivity check · the eight-minute writing block · the close and rescore date.</w:t>
      </w:r>
    </w:p>
    <w:p>
      <w:pPr>
        <w:spacing w:after="100" w:before="220"/>
      </w:pPr>
      <w:r>
        <w:rPr>
          <w:rFonts w:ascii="DM Sans" w:cs="DM Sans" w:eastAsia="DM Sans" w:hAnsi="DM Sans"/>
          <w:b/>
          <w:bCs/>
          <w:color w:val="0F2347"/>
          <w:sz w:val="22"/>
          <w:szCs w:val="22"/>
        </w:rPr>
        <w:t xml:space="preserve">Rehearsal gate</w:t>
      </w:r>
    </w:p>
    <w:p>
      <w:pPr>
        <w:spacing w:after="120" w:line="276"/>
      </w:pPr>
      <w:r>
        <w:rPr>
          <w:rFonts w:ascii="DM Sans" w:cs="DM Sans" w:eastAsia="DM Sans" w:hAnsi="DM Sans"/>
          <w:color w:val="1A1A1A"/>
          <w:sz w:val="20"/>
          <w:szCs w:val="20"/>
        </w:rPr>
        <w:t xml:space="preserve">Two complete rehearsals inside a two-hour calendar block. Participants: one experienced professional unfamiliar with the framework; one experienced professional familiar with workforce or talent decisions; one observer who times and records but does not participate.</w:t>
      </w:r>
    </w:p>
    <w:p>
      <w:pPr>
        <w:pStyle w:val="ListParagraph"/>
        <w:numPr>
          <w:ilvl w:val="0"/>
          <w:numId w:val="1"/>
        </w:numPr>
        <w:spacing w:after="60"/>
      </w:pPr>
      <w:r>
        <w:rPr>
          <w:rFonts w:ascii="DM Sans" w:cs="DM Sans" w:eastAsia="DM Sans" w:hAnsi="DM Sans"/>
          <w:sz w:val="19"/>
          <w:szCs w:val="19"/>
        </w:rPr>
        <w:t xml:space="preserve">At least one participant uses Part A, staged release of Part B, and Adobe Acrobat Reader on desktop.</w:t>
      </w:r>
    </w:p>
    <w:p>
      <w:pPr>
        <w:pStyle w:val="ListParagraph"/>
        <w:numPr>
          <w:ilvl w:val="0"/>
          <w:numId w:val="1"/>
        </w:numPr>
        <w:spacing w:after="60"/>
      </w:pPr>
      <w:r>
        <w:rPr>
          <w:rFonts w:ascii="DM Sans" w:cs="DM Sans" w:eastAsia="DM Sans" w:hAnsi="DM Sans"/>
          <w:sz w:val="19"/>
          <w:szCs w:val="19"/>
        </w:rPr>
        <w:t xml:space="preserve">At least one tests browser or mobile degradation and manual totals.</w:t>
      </w:r>
    </w:p>
    <w:p>
      <w:pPr>
        <w:spacing w:after="100" w:before="220"/>
      </w:pPr>
      <w:r>
        <w:rPr>
          <w:rFonts w:ascii="DM Sans" w:cs="DM Sans" w:eastAsia="DM Sans" w:hAnsi="DM Sans"/>
          <w:b/>
          <w:bCs/>
          <w:color w:val="0F2347"/>
          <w:sz w:val="22"/>
          <w:szCs w:val="22"/>
        </w:rPr>
        <w:t xml:space="preserve">Rehearsal capture sheet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1800"/>
        <w:gridCol w:w="1800"/>
      </w:tblGrid>
      <w:tr>
        <w:trPr>
          <w:tblHeader/>
        </w:trPr>
        <w:tc>
          <w:tcPr>
            <w:tcW w:type="dxa" w:w="4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Measure</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Unit</w:t>
            </w:r>
          </w:p>
        </w:tc>
        <w:tc>
          <w:tcPr>
            <w:tcW w:type="dxa" w:w="18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Rehearsal 1</w:t>
            </w:r>
          </w:p>
        </w:tc>
        <w:tc>
          <w:tcPr>
            <w:tcW w:type="dxa" w:w="18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Rehearsal 2</w:t>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Either participant saw calibration content before first placement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Yes / No</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the initial score (all twelve)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first placement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Evidence-protocol confusion</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Count of clarifying questions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the corrected score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run the sensitivity check</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Time to complete second placement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Next-Move Decision completed inside eight minutes</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Yes / partly / no</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Anonymous polling worked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Yes / No, and what failed</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Emotional pacing</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Free text</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Page-navigation problems</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Free text</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Form failures</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Free text</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Total core duration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Q&amp;A time used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Minutes</w:t>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r>
        <w:tc>
          <w:tcPr>
            <w:tcW w:type="dxa" w:w="4200"/>
            <w:tcMar>
              <w:top w:type="dxa" w:w="60"/>
              <w:left w:type="dxa" w:w="90"/>
              <w:bottom w:type="dxa" w:w="60"/>
              <w:right w:type="dxa" w:w="90"/>
            </w:tcMar>
          </w:tcPr>
          <w:p>
            <w:pPr>
              <w:spacing w:after="20"/>
            </w:pPr>
            <w:r>
              <w:rPr>
                <w:rFonts w:ascii="DM Sans" w:cs="DM Sans" w:eastAsia="DM Sans" w:hAnsi="DM Sans"/>
                <w:color w:val="1A1A1A"/>
                <w:sz w:val="15"/>
                <w:szCs w:val="15"/>
              </w:rPr>
              <w:t xml:space="preserve">Whole session inside the two-hour block</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Yes / No</w:t>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c>
          <w:tcPr>
            <w:tcW w:type="dxa" w:w="1800"/>
            <w:tcMar>
              <w:top w:type="dxa" w:w="60"/>
              <w:left w:type="dxa" w:w="90"/>
              <w:bottom w:type="dxa" w:w="60"/>
              <w:right w:type="dxa" w:w="90"/>
            </w:tcMar>
          </w:tcPr>
          <w:p>
            <w:pPr>
              <w:spacing w:after="20"/>
            </w:pPr>
            <w:r>
              <w:rPr>
                <w:rFonts w:ascii="DM Sans" w:cs="DM Sans" w:eastAsia="DM Sans" w:hAnsi="DM Sans"/>
                <w:color w:val="1A1A1A"/>
                <w:sz w:val="15"/>
                <w:szCs w:val="15"/>
              </w:rPr>
              <w:t xml:space="preserve"/>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Stability conditions</w:t>
      </w:r>
    </w:p>
    <w:p>
      <w:pPr>
        <w:spacing w:after="120" w:line="276"/>
      </w:pPr>
      <w:r>
        <w:rPr>
          <w:rFonts w:ascii="DM Sans" w:cs="DM Sans" w:eastAsia="DM Sans" w:hAnsi="DM Sans"/>
          <w:color w:val="1A1A1A"/>
          <w:sz w:val="20"/>
          <w:szCs w:val="20"/>
        </w:rPr>
        <w:t xml:space="preserve">The product is stable only when two full rehearsals complete the protected core, the initial reading remains uncontaminated, no protected segment is cut, the form works, participants understand the provisional nature of the state, the Next-Move Decision is completed, and the whole session fits the two-hour block. None of these has been met yet. Both rehearsals are outstanding.</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2026-08-01T22:24:49.532Z</dcterms:created>
  <dcterms:modified xsi:type="dcterms:W3CDTF">2026-08-01T22:24:49.532Z</dcterms:modified>
</cp:coreProperties>
</file>

<file path=docProps/custom.xml><?xml version="1.0" encoding="utf-8"?>
<Properties xmlns="http://schemas.openxmlformats.org/officeDocument/2006/custom-properties" xmlns:vt="http://schemas.openxmlformats.org/officeDocument/2006/docPropsVTypes"/>
</file>