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 LOG</w:t>
      </w:r>
    </w:p>
    <w:p>
      <w:r>
        <w:rPr>
          <w:i/>
        </w:rPr>
        <w:t>Deck v4.11 and Workbook v5.8</w:t>
      </w:r>
    </w:p>
    <w:p>
      <w:r>
        <w:rPr>
          <w:i/>
        </w:rPr>
        <w:t>Against Deck v4.10 and Workbook v5.7 · Instrument unchanged at v1.1 · visual-compression and presentation-design refinement</w:t>
      </w:r>
    </w:p>
    <w:p>
      <w:r>
        <w:t>This pass reduced the visual burden of the live deck and gave it colour rhythm. It did not add concepts, frameworks, products, offers, audience segments or sales copy, and it did not remove any methodological protection. The intellectual product is unchanged.</w:t>
      </w:r>
    </w:p>
    <w:p>
      <w:pPr>
        <w:pStyle w:val="Heading1"/>
      </w:pPr>
      <w:r>
        <w:t>Preserved from v4.10</w:t>
      </w:r>
    </w:p>
    <w:p>
      <w:r>
        <w:t>Embedded fonts and the fallback-font stress test; the calibration divider; the staged Part A / Part B release and the visible Part B transition; the complete twelve-statement administration; the two-pass mechanism; the two-hour session architecture; the PDF presentation backup; the privacy boundaries; the anonymous polling architecture; the corrected state-cost logic; the team-leader appendix and the individual written read remaining absent from the close; the opening-story factual boundaries; and all four launch gates. The instrument stays at Version 1.1.</w:t>
      </w:r>
    </w:p>
    <w:p>
      <w:pPr>
        <w:pStyle w:val="Heading1"/>
      </w:pPr>
      <w:r>
        <w:t>Deck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Now</w:t>
            </w:r>
          </w:p>
        </w:tc>
        <w:tc>
          <w:tcPr>
            <w:tcW w:type="dxa" w:w="2880"/>
          </w:tcPr>
          <w:p>
            <w:r>
              <w:rPr>
                <w:b/>
              </w:rPr>
              <w:t>Was</w:t>
            </w:r>
          </w:p>
        </w:tc>
      </w:tr>
      <w:tr>
        <w:tc>
          <w:tcPr>
            <w:tcW w:type="dxa" w:w="2880"/>
          </w:tcPr>
          <w:p>
            <w:r>
              <w:t>Visible word count</w:t>
            </w:r>
          </w:p>
        </w:tc>
        <w:tc>
          <w:tcPr>
            <w:tcW w:type="dxa" w:w="2880"/>
          </w:tcPr>
          <w:p>
            <w:r>
              <w:t>Reduced from 3,412 to 2,840 words across 43 slides (about 17%). Detail moved to speaker notes (tagged) or already present in the workbook; nothing deleted outright.</w:t>
            </w:r>
          </w:p>
        </w:tc>
        <w:tc>
          <w:tcPr>
            <w:tcW w:type="dxa" w:w="2880"/>
          </w:tcPr>
          <w:p>
            <w:r>
              <w:t>Slides carried near-handout density.</w:t>
            </w:r>
          </w:p>
        </w:tc>
      </w:tr>
      <w:tr>
        <w:tc>
          <w:tcPr>
            <w:tcW w:type="dxa" w:w="2880"/>
          </w:tcPr>
          <w:p>
            <w:r>
              <w:t>Slide colour rhythm</w:t>
            </w:r>
          </w:p>
        </w:tc>
        <w:tc>
          <w:tcPr>
            <w:tcW w:type="dxa" w:w="2880"/>
          </w:tcPr>
          <w:p>
            <w:r>
              <w:t>Navy dividers; cream teaching; pale-navy #E9EDF3 for scoring and placement; pale-rust #F5E8E1 for the participant's own cost and decision. Palette unchanged.</w:t>
            </w:r>
          </w:p>
        </w:tc>
        <w:tc>
          <w:tcPr>
            <w:tcW w:type="dxa" w:w="2880"/>
          </w:tcPr>
          <w:p>
            <w:r>
              <w:t>Largely cream throughout.</w:t>
            </w:r>
          </w:p>
        </w:tc>
      </w:tr>
      <w:tr>
        <w:tc>
          <w:tcPr>
            <w:tcW w:type="dxa" w:w="2880"/>
          </w:tcPr>
          <w:p>
            <w:r>
              <w:t>2×2 mark</w:t>
            </w:r>
          </w:p>
        </w:tc>
        <w:tc>
          <w:tcPr>
            <w:tcW w:type="dxa" w:w="2880"/>
          </w:tcPr>
          <w:p>
            <w:r>
              <w:t>Canonical mark (three outlined squares, one rust-filled) added to the title, the six major navy dividers and the close — seven slides, used sparingly.</w:t>
            </w:r>
          </w:p>
        </w:tc>
        <w:tc>
          <w:tcPr>
            <w:tcW w:type="dxa" w:w="2880"/>
          </w:tcPr>
          <w:p>
            <w:r>
              <w:t>Absent from the deck.</w:t>
            </w:r>
          </w:p>
        </w:tc>
      </w:tr>
      <w:tr>
        <w:tc>
          <w:tcPr>
            <w:tcW w:type="dxa" w:w="2880"/>
          </w:tcPr>
          <w:p>
            <w:r>
              <w:t>Reframe header (slide 5)</w:t>
            </w:r>
          </w:p>
        </w:tc>
        <w:tc>
          <w:tcPr>
            <w:tcW w:type="dxa" w:w="2880"/>
          </w:tcPr>
          <w:p>
            <w:r>
              <w:t>Right-column header now reads “WHAT YOU NEED TO READ FIRST”; the eyebrow returns to “THE REFRAME”.</w:t>
            </w:r>
          </w:p>
        </w:tc>
        <w:tc>
          <w:tcPr>
            <w:tcW w:type="dxa" w:w="2880"/>
          </w:tcPr>
          <w:p>
            <w:r>
              <w:t>Right column read “WHAT DECIDES THE ANSWER”; the earlier pass had moved the phrase to the eyebrow.</w:t>
            </w:r>
          </w:p>
        </w:tc>
      </w:tr>
      <w:tr>
        <w:tc>
          <w:tcPr>
            <w:tcW w:type="dxa" w:w="2880"/>
          </w:tcPr>
          <w:p>
            <w:r>
              <w:t>State costs (slide 33)</w:t>
            </w:r>
          </w:p>
        </w:tc>
        <w:tc>
          <w:tcPr>
            <w:tcW w:type="dxa" w:w="2880"/>
          </w:tcPr>
          <w:p>
            <w:r>
              <w:t>One concise line per state on the live slide; the immediate/hidden/waiting/false-reassurance structure moved to notes and retained in the workbook.</w:t>
            </w:r>
          </w:p>
        </w:tc>
        <w:tc>
          <w:tcPr>
            <w:tcW w:type="dxa" w:w="2880"/>
          </w:tcPr>
          <w:p>
            <w:r>
              <w:t>Four readings and a false-reassurance quote per state on the live slide.</w:t>
            </w:r>
          </w:p>
        </w:tc>
      </w:tr>
      <w:tr>
        <w:tc>
          <w:tcPr>
            <w:tcW w:type="dxa" w:w="2880"/>
          </w:tcPr>
          <w:p>
            <w:r>
              <w:t>Misreadings (22/23/25)</w:t>
            </w:r>
          </w:p>
        </w:tc>
        <w:tc>
          <w:tcPr>
            <w:tcW w:type="dxa" w:w="2880"/>
          </w:tcPr>
          <w:p>
            <w:r>
              <w:t>The dense paired examples condensed on the slide; full examples narrated from the notes; the canonical correction line kept.</w:t>
            </w:r>
          </w:p>
        </w:tc>
        <w:tc>
          <w:tcPr>
            <w:tcW w:type="dxa" w:w="2880"/>
          </w:tcPr>
          <w:p>
            <w:r>
              <w:t>Two dense paragraphs to read while listening.</w:t>
            </w:r>
          </w:p>
        </w:tc>
      </w:tr>
      <w:tr>
        <w:tc>
          <w:tcPr>
            <w:tcW w:type="dxa" w:w="2880"/>
          </w:tcPr>
          <w:p>
            <w:r>
              <w:t>What moved (slide 30)</w:t>
            </w:r>
          </w:p>
        </w:tc>
        <w:tc>
          <w:tcPr>
            <w:tcW w:type="dxa" w:w="2880"/>
          </w:tcPr>
          <w:p>
            <w:r>
              <w:t>Three anonymous questions plus one neutral line; calibration explanation moved to notes.</w:t>
            </w:r>
          </w:p>
        </w:tc>
        <w:tc>
          <w:tcPr>
            <w:tcW w:type="dxa" w:w="2880"/>
          </w:tcPr>
          <w:p>
            <w:r>
              <w:t>A four-line calibration paragraph on the slide.</w:t>
            </w:r>
          </w:p>
        </w:tc>
      </w:tr>
      <w:tr>
        <w:tc>
          <w:tcPr>
            <w:tcW w:type="dxa" w:w="2880"/>
          </w:tcPr>
          <w:p>
            <w:r>
              <w:t>Canonical language</w:t>
            </w:r>
          </w:p>
        </w:tc>
        <w:tc>
          <w:tcPr>
            <w:tcW w:type="dxa" w:w="2880"/>
          </w:tcPr>
          <w:p>
            <w:r>
              <w:t>Ten canonical lines preserved verbatim; no withdrawn language restored.</w:t>
            </w:r>
          </w:p>
        </w:tc>
        <w:tc>
          <w:tcPr>
            <w:tcW w:type="dxa" w:w="2880"/>
          </w:tcPr>
          <w:p>
            <w:r>
              <w:t>—</w:t>
            </w:r>
          </w:p>
        </w:tc>
      </w:tr>
      <w:tr>
        <w:tc>
          <w:tcPr>
            <w:tcW w:type="dxa" w:w="2880"/>
          </w:tcPr>
          <w:p>
            <w:r>
              <w:t>Render safety</w:t>
            </w:r>
          </w:p>
        </w:tc>
        <w:tc>
          <w:tcPr>
            <w:tcW w:type="dxa" w:w="2880"/>
          </w:tcPr>
          <w:p>
            <w:r>
              <w:t>Re-verified collision-free at real metrics and under a wide fallback with shrink-to-fit; fonts still embedded; new PDF backup (Deck_v4.11_BACKUP.pdf).</w:t>
            </w:r>
          </w:p>
        </w:tc>
        <w:tc>
          <w:tcPr>
            <w:tcW w:type="dxa" w:w="2880"/>
          </w:tcPr>
          <w:p>
            <w:r>
              <w:t>—</w:t>
            </w:r>
          </w:p>
        </w:tc>
      </w:tr>
    </w:tbl>
    <w:p>
      <w:pPr>
        <w:pStyle w:val="Heading1"/>
      </w:pPr>
      <w:r>
        <w:t>Workbook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Now</w:t>
            </w:r>
          </w:p>
        </w:tc>
        <w:tc>
          <w:tcPr>
            <w:tcW w:type="dxa" w:w="2880"/>
          </w:tcPr>
          <w:p>
            <w:r>
              <w:rPr>
                <w:b/>
              </w:rPr>
              <w:t>Was</w:t>
            </w:r>
          </w:p>
        </w:tc>
      </w:tr>
      <w:tr>
        <w:tc>
          <w:tcPr>
            <w:tcW w:type="dxa" w:w="2880"/>
          </w:tcPr>
          <w:p>
            <w:r>
              <w:t>Versioning</w:t>
            </w:r>
          </w:p>
        </w:tc>
        <w:tc>
          <w:tcPr>
            <w:tcW w:type="dxa" w:w="2880"/>
          </w:tcPr>
          <w:p>
            <w:r>
              <w:t>Complete Session Workbook v5.8; Part A Initial Read v1.3; Part B Calibration and Decision v1.3. Instrument unchanged at v1.1.</w:t>
            </w:r>
          </w:p>
        </w:tc>
        <w:tc>
          <w:tcPr>
            <w:tcW w:type="dxa" w:w="2880"/>
          </w:tcPr>
          <w:p>
            <w:r>
              <w:t>v5.7 / v1.2 / v1.2.</w:t>
            </w:r>
          </w:p>
        </w:tc>
      </w:tr>
      <w:tr>
        <w:tc>
          <w:tcPr>
            <w:tcW w:type="dxa" w:w="2880"/>
          </w:tcPr>
          <w:p>
            <w:r>
              <w:t>Before You Start</w:t>
            </w:r>
          </w:p>
        </w:tc>
        <w:tc>
          <w:tcPr>
            <w:tcW w:type="dxa" w:w="2880"/>
          </w:tcPr>
          <w:p>
            <w:r>
              <w:t>The italic first-score callout tightened; the two-hour structure, privacy boundary, pilot boundary, specialist-judgment boundary and staged-workbook instruction all retained.</w:t>
            </w:r>
          </w:p>
        </w:tc>
        <w:tc>
          <w:tcPr>
            <w:tcW w:type="dxa" w:w="2880"/>
          </w:tcPr>
          <w:p>
            <w:r>
              <w:t>A longer callout with a repeated clause.</w:t>
            </w:r>
          </w:p>
        </w:tc>
      </w:tr>
      <w:tr>
        <w:tc>
          <w:tcPr>
            <w:tcW w:type="dxa" w:w="2880"/>
          </w:tcPr>
          <w:p>
            <w:r>
              <w:t>Evidence Protocol / Sensitivity / State Costs / Where You Go</w:t>
            </w:r>
          </w:p>
        </w:tc>
        <w:tc>
          <w:tcPr>
            <w:tcW w:type="dxa" w:w="2880"/>
          </w:tcPr>
          <w:p>
            <w:r>
              <w:t>Rules, procedure, matrix and reference kept intact. State-cost wording remains aligned with the axes (corrected in v5.7). No text was shrunk to save space, and no page was added; deeper spacing/hierarchy redesign would require the original layout source and was not performed in this in-place pass.</w:t>
            </w:r>
          </w:p>
        </w:tc>
        <w:tc>
          <w:tcPr>
            <w:tcW w:type="dxa" w:w="2880"/>
          </w:tcPr>
          <w:p>
            <w:r>
              <w:t>—</w:t>
            </w:r>
          </w:p>
        </w:tc>
      </w:tr>
      <w:tr>
        <w:tc>
          <w:tcPr>
            <w:tcW w:type="dxa" w:w="2880"/>
          </w:tcPr>
          <w:p>
            <w:r>
              <w:t>Form and print protection</w:t>
            </w:r>
          </w:p>
        </w:tc>
        <w:tc>
          <w:tcPr>
            <w:tcW w:type="dxa" w:w="2880"/>
          </w:tcPr>
          <w:p>
            <w:r>
              <w:t>Fillable fields, calculation order, keystroke validators and calculation scripts verified intact after edits (Complete 107 / CO 10 / 24 keystroke / 10 calc; Initial Read 24 / CO 4; Calibration 83 / CO 4). Fillable and print rendered and compared page by page; only the cover FILLABLE/PRINT label differs.</w:t>
            </w:r>
          </w:p>
        </w:tc>
        <w:tc>
          <w:tcPr>
            <w:tcW w:type="dxa" w:w="2880"/>
          </w:tcPr>
          <w:p>
            <w:r>
              <w:t>—</w:t>
            </w:r>
          </w:p>
        </w:tc>
      </w:tr>
    </w:tbl>
    <w:p>
      <w:pPr>
        <w:pStyle w:val="Heading1"/>
      </w:pPr>
      <w:r>
        <w:t>New and updated documents</w:t>
      </w:r>
    </w:p>
    <w:p>
      <w:r>
        <w:t>New: Slide Word-Count Before/After Report v1.0; Slide Visual Rhythm and Colour Report v1.0; Animation Implementation Guide v1.0. Updated: Facilitator Protocol v3.4; Timing and Rehearsal v1.4; Crosswalk (v4.11/v5.8); QA Report (v4.11/v5.8); Fillable-versus-Print comparison v1.2; Read Me. Unchanged and carried through: the Anonymous Poll Setup, Opening Story Script, Story Evidence Table and Acrobat test checklist from the v4.10/v5.7 package.</w:t>
      </w:r>
    </w:p>
    <w:p>
      <w:pPr>
        <w:pStyle w:val="Heading1"/>
      </w:pPr>
      <w:r>
        <w:t>FAQ</w:t>
      </w:r>
    </w:p>
    <w:p>
      <w:r>
        <w:t>The supplied Participant FAQ and Facilitator Response Guide v1.1 was named as canonical and to be included unchanged, but the file was not present in this build environment (it was not uploaded). It could therefore not be included or consistency-checked. No new FAQ was created. Please upload the file and it will be added to the package and checked against Instrument v1.1, the two-hour duration, the privacy language, the staged workbooks, the included Field Kit, the no-directive boundary, the no-validation-claim boundary, the no-team-administration boundary and the no-written-read promise.</w:t>
      </w:r>
    </w:p>
    <w:p>
      <w:pPr>
        <w:pStyle w:val="Heading1"/>
      </w:pPr>
      <w:r>
        <w:t>Not launch-ready</w:t>
      </w:r>
    </w:p>
    <w:p>
      <w:r>
        <w:t>The four launch gates remain open: PowerPoint test on the exact delivery computer; Adobe Acrobat Reader runtime test; anonymous polling tool selected and tested end to end; and staged release plus two rehearsals. A LibreOffice render sign-off and founder confirmation of the held opening-story beats also remain outstanding.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