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CROSS-ASSET QA REPORT</w:t>
      </w:r>
    </w:p>
    <w:p>
      <w:r>
        <w:rPr>
          <w:i/>
        </w:rPr>
        <w:t>Deck v4.11 · Workbook v5.8 · Initial Read v1.3 · Calibration and Decision v1.3</w:t>
      </w:r>
    </w:p>
    <w:p>
      <w:r>
        <w:rPr>
          <w:i/>
        </w:rPr>
        <w:t>Instrument v1.1 · visual-compression and presentation-design refinement over v4.10 / v5.7</w:t>
      </w:r>
    </w:p>
    <w:p>
      <w:r>
        <w:t>Verdict vocabulary: Pass, Fail, Not yet tested, Requires user confirmation only. No runtime result is inferred from structural inspection.</w:t>
      </w:r>
    </w:p>
    <w:p>
      <w:pPr>
        <w:pStyle w:val="Heading1"/>
      </w:pPr>
      <w:r>
        <w:t>Environment limitations that gate certain results</w:t>
      </w:r>
    </w:p>
    <w:p>
      <w:pPr>
        <w:pStyle w:val="ListBullet"/>
      </w:pPr>
      <w:r>
        <w:t>Adobe Acrobat Reader is unavailable; the form runtime could not be exercised. The AcroForm object layer was verified by inspection (rows 6–7).</w:t>
      </w:r>
    </w:p>
    <w:p>
      <w:pPr>
        <w:pStyle w:val="ListBullet"/>
      </w:pPr>
      <w:r>
        <w:t>Microsoft PowerPoint is unavailable and LibreOffice / soffice would not bootstrap in this environment. The deck could not be opened in either application's slideshow mode here. Slide geometry was verified with an independent text-metrics renderer at real metrics and under a wide fallback font (rows 1–3). Opening the deck in PowerPoint and LibreOffice remains a human sign-off (row 4).</w:t>
      </w:r>
    </w:p>
    <w:p>
      <w:pPr>
        <w:pStyle w:val="ListBullet"/>
      </w:pPr>
      <w:r>
        <w:t>No rehearsal has run and no anonymous polling method has been selected, so timing, staged release and polling remain Not yet tested.</w:t>
      </w:r>
    </w:p>
    <w:p>
      <w:pPr>
        <w:pStyle w:val="Heading1"/>
      </w:pPr>
      <w:r>
        <w:t>Supplied FAQ not present</w:t>
      </w:r>
    </w:p>
    <w:p>
      <w:r>
        <w:t>The Participant FAQ and Facilitator Response Guide v1.1, named as canonical and to be included unchanged, was not uploaded to this environment. It is therefore absent from the package and was not consistency-checked. No new FAQ was created (per instruction). Result: Requires user confirmation — upload the file for inclusion and a consistency pass against Instrument v1.1, two-hour duration, privacy language, staged workbooks, included Field Kit, no stay/leave directive, no validation claim, no team-administration permission, and no written-read promise.</w:t>
      </w:r>
    </w:p>
    <w:p>
      <w:pPr>
        <w:pStyle w:val="Heading1"/>
      </w:pPr>
      <w:r>
        <w:t>Check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Evidence</w:t>
            </w:r>
          </w:p>
        </w:tc>
      </w:tr>
      <w:tr>
        <w:tc>
          <w:tcPr>
            <w:tcW w:type="dxa" w:w="2880"/>
          </w:tcPr>
          <w:p>
            <w:r>
              <w:t>1. Rendered slide montage</w:t>
            </w:r>
          </w:p>
        </w:tc>
        <w:tc>
          <w:tcPr>
            <w:tcW w:type="dxa" w:w="2880"/>
          </w:tcPr>
          <w:p>
            <w:r>
              <w:t>Pass</w:t>
            </w:r>
          </w:p>
        </w:tc>
        <w:tc>
          <w:tcPr>
            <w:tcW w:type="dxa" w:w="2880"/>
          </w:tcPr>
          <w:p>
            <w:r>
              <w:t>montage_real.png (Deck v4.11) — 43 slides at real DM Sans / Cormorant Garamond metrics, showing the colour rhythm and the 2×2 mark.</w:t>
            </w:r>
          </w:p>
        </w:tc>
      </w:tr>
      <w:tr>
        <w:tc>
          <w:tcPr>
            <w:tcW w:type="dxa" w:w="2880"/>
          </w:tcPr>
          <w:p>
            <w:r>
              <w:t>2. Full-size inspection of every slide</w:t>
            </w:r>
          </w:p>
        </w:tc>
        <w:tc>
          <w:tcPr>
            <w:tcW w:type="dxa" w:w="2880"/>
          </w:tcPr>
          <w:p>
            <w:r>
              <w:t>Pass</w:t>
            </w:r>
          </w:p>
        </w:tc>
        <w:tc>
          <w:tcPr>
            <w:tcW w:type="dxa" w:w="2880"/>
          </w:tcPr>
          <w:p>
            <w:r>
              <w:t>Text-metrics detector at real metrics and with a wide fallback serif/sans, shrink-to-fit simulated. Zero text-rectangle collisions and zero footer intrusions on all 43 slides in both passes.</w:t>
            </w:r>
          </w:p>
        </w:tc>
      </w:tr>
      <w:tr>
        <w:tc>
          <w:tcPr>
            <w:tcW w:type="dxa" w:w="2880"/>
          </w:tcPr>
          <w:p>
            <w:r>
              <w:t>3. Fallback-font stress render</w:t>
            </w:r>
          </w:p>
        </w:tc>
        <w:tc>
          <w:tcPr>
            <w:tcW w:type="dxa" w:w="2880"/>
          </w:tcPr>
          <w:p>
            <w:r>
              <w:t>Pass</w:t>
            </w:r>
          </w:p>
        </w:tc>
        <w:tc>
          <w:tcPr>
            <w:tcW w:type="dxa" w:w="2880"/>
          </w:tcPr>
          <w:p>
            <w:r>
              <w:t>montage_fallback.png — all 43 slides with a wide fallback font; no collisions, confirming the embedded-font layout degrades safely.</w:t>
            </w:r>
          </w:p>
        </w:tc>
      </w:tr>
      <w:tr>
        <w:tc>
          <w:tcPr>
            <w:tcW w:type="dxa" w:w="2880"/>
          </w:tcPr>
          <w:p>
            <w:r>
              <w:t>4. Deck opened in PowerPoint and LibreOffice slideshow</w:t>
            </w:r>
          </w:p>
        </w:tc>
        <w:tc>
          <w:tcPr>
            <w:tcW w:type="dxa" w:w="2880"/>
          </w:tcPr>
          <w:p>
            <w:r>
              <w:t>Requires user confirmation</w:t>
            </w:r>
          </w:p>
        </w:tc>
        <w:tc>
          <w:tcPr>
            <w:tcW w:type="dxa" w:w="2880"/>
          </w:tcPr>
          <w:p>
            <w:r>
              <w:t>Neither application would run in this environment. Must be opened in both, in slideshow mode, on the exact delivery computer.</w:t>
            </w:r>
          </w:p>
        </w:tc>
      </w:tr>
      <w:tr>
        <w:tc>
          <w:tcPr>
            <w:tcW w:type="dxa" w:w="2880"/>
          </w:tcPr>
          <w:p>
            <w:r>
              <w:t>5. Visible word count reduced</w:t>
            </w:r>
          </w:p>
        </w:tc>
        <w:tc>
          <w:tcPr>
            <w:tcW w:type="dxa" w:w="2880"/>
          </w:tcPr>
          <w:p>
            <w:r>
              <w:t>Pass</w:t>
            </w:r>
          </w:p>
        </w:tc>
        <w:tc>
          <w:tcPr>
            <w:tcW w:type="dxa" w:w="2880"/>
          </w:tcPr>
          <w:p>
            <w:r>
              <w:t>3,412 → 2,840 words across 43 slides (~17%). Every slide over 60 words is a documented exception (twelve statements, evidence protocol, correction map, sensitivity check, seven categories, five Next-Move lines, appendices, boundary/safety). See the Word-Count Before/After report.</w:t>
            </w:r>
          </w:p>
        </w:tc>
      </w:tr>
      <w:tr>
        <w:tc>
          <w:tcPr>
            <w:tcW w:type="dxa" w:w="2880"/>
          </w:tcPr>
          <w:p>
            <w:r>
              <w:t>6. Form-field object layer preserved</w:t>
            </w:r>
          </w:p>
        </w:tc>
        <w:tc>
          <w:tcPr>
            <w:tcW w:type="dxa" w:w="2880"/>
          </w:tcPr>
          <w:p>
            <w:r>
              <w:t>Pass, structurally only</w:t>
            </w:r>
          </w:p>
        </w:tc>
        <w:tc>
          <w:tcPr>
            <w:tcW w:type="dxa" w:w="2880"/>
          </w:tcPr>
          <w:p>
            <w:r>
              <w:t>After all edits: Complete 107 fields (CO 10, 10 calculation actions, 24 keystroke validators, NeedAppearances true); Initial Read 24 (CO 4); Calibration 83 (CO 4). Runtime is row 8.</w:t>
            </w:r>
          </w:p>
        </w:tc>
      </w:tr>
      <w:tr>
        <w:tc>
          <w:tcPr>
            <w:tcW w:type="dxa" w:w="2880"/>
          </w:tcPr>
          <w:p>
            <w:r>
              <w:t>7. Field counts / tab order / bookmarks / tooltips</w:t>
            </w:r>
          </w:p>
        </w:tc>
        <w:tc>
          <w:tcPr>
            <w:tcW w:type="dxa" w:w="2880"/>
          </w:tcPr>
          <w:p>
            <w:r>
              <w:t>Pass, structurally only</w:t>
            </w:r>
          </w:p>
        </w:tc>
        <w:tc>
          <w:tcPr>
            <w:tcW w:type="dxa" w:w="2880"/>
          </w:tcPr>
          <w:p>
            <w:r>
              <w:t>Field counts unchanged from v5.7 (107 / 24 / 83). Calculation order arrays intact. Verified by object inspection; runtime behaviour is row 8.</w:t>
            </w:r>
          </w:p>
        </w:tc>
      </w:tr>
      <w:tr>
        <w:tc>
          <w:tcPr>
            <w:tcW w:type="dxa" w:w="2880"/>
          </w:tcPr>
          <w:p>
            <w:r>
              <w:t>8. Acrobat runtime test</w:t>
            </w:r>
          </w:p>
        </w:tc>
        <w:tc>
          <w:tcPr>
            <w:tcW w:type="dxa" w:w="2880"/>
          </w:tcPr>
          <w:p>
            <w:r>
              <w:t>Not yet tested</w:t>
            </w:r>
          </w:p>
        </w:tc>
        <w:tc>
          <w:tcPr>
            <w:tcW w:type="dxa" w:w="2880"/>
          </w:tcPr>
          <w:p>
            <w:r>
              <w:t>No Adobe Acrobat Reader in this environment. Must be completed on desktop Reader and signed.</w:t>
            </w:r>
          </w:p>
        </w:tc>
      </w:tr>
      <w:tr>
        <w:tc>
          <w:tcPr>
            <w:tcW w:type="dxa" w:w="2880"/>
          </w:tcPr>
          <w:p>
            <w:r>
              <w:t>9. Fillable vs print page comparison</w:t>
            </w:r>
          </w:p>
        </w:tc>
        <w:tc>
          <w:tcPr>
            <w:tcW w:type="dxa" w:w="2880"/>
          </w:tcPr>
          <w:p>
            <w:r>
              <w:t>Pass, with the difference stated</w:t>
            </w:r>
          </w:p>
        </w:tc>
        <w:tc>
          <w:tcPr>
            <w:tcW w:type="dxa" w:w="2880"/>
          </w:tcPr>
          <w:p>
            <w:r>
              <w:t>Not claimed pixel-identical. Every page identical (max delta 0) except page 1 of each document, where the cover reads FILLABLE vs PRINT — an intended label difference. Full table in Fillable-vs-Print comparison v1.2.</w:t>
            </w:r>
          </w:p>
        </w:tc>
      </w:tr>
      <w:tr>
        <w:tc>
          <w:tcPr>
            <w:tcW w:type="dxa" w:w="2880"/>
          </w:tcPr>
          <w:p>
            <w:r>
              <w:t>10. Workbook selective simplification</w:t>
            </w:r>
          </w:p>
        </w:tc>
        <w:tc>
          <w:tcPr>
            <w:tcW w:type="dxa" w:w="2880"/>
          </w:tcPr>
          <w:p>
            <w:r>
              <w:t>Pass, in-place scope</w:t>
            </w:r>
          </w:p>
        </w:tc>
        <w:tc>
          <w:tcPr>
            <w:tcW w:type="dxa" w:w="2880"/>
          </w:tcPr>
          <w:p>
            <w:r>
              <w:t>Before-You-Start first-score callout tightened; two-hour structure, privacy, pilot, specialist-judgment and staged-workbook instructions retained. Evidence Protocol, Sensitivity, State Costs and Where-You-Go rules/reference kept intact; no text shrunk and no page added. Deeper spacing/hierarchy redesign would require the original layout source and was not performed.</w:t>
            </w:r>
          </w:p>
        </w:tc>
      </w:tr>
      <w:tr>
        <w:tc>
          <w:tcPr>
            <w:tcW w:type="dxa" w:w="2880"/>
          </w:tcPr>
          <w:p>
            <w:r>
              <w:t>11. State-cost logic aligned with the axes</w:t>
            </w:r>
          </w:p>
        </w:tc>
        <w:tc>
          <w:tcPr>
            <w:tcW w:type="dxa" w:w="2880"/>
          </w:tcPr>
          <w:p>
            <w:r>
              <w:t>Pass</w:t>
            </w:r>
          </w:p>
        </w:tc>
        <w:tc>
          <w:tcPr>
            <w:tcW w:type="dxa" w:w="2880"/>
          </w:tcPr>
          <w:p>
            <w:r>
              <w:t>Live slide: one concise line per state, Compounding renewal wording and Fragile no-longer-renewed wording. Workbook page 19 retains the corrected fuller reference. No internal-language Compounding cost and no ‘market has not noticed’.</w:t>
            </w:r>
          </w:p>
        </w:tc>
      </w:tr>
      <w:tr>
        <w:tc>
          <w:tcPr>
            <w:tcW w:type="dxa" w:w="2880"/>
          </w:tcPr>
          <w:p>
            <w:r>
              <w:t>12. Colour rhythm applied without new palette</w:t>
            </w:r>
          </w:p>
        </w:tc>
        <w:tc>
          <w:tcPr>
            <w:tcW w:type="dxa" w:w="2880"/>
          </w:tcPr>
          <w:p>
            <w:r>
              <w:t>Pass</w:t>
            </w:r>
          </w:p>
        </w:tc>
        <w:tc>
          <w:tcPr>
            <w:tcW w:type="dxa" w:w="2880"/>
          </w:tcPr>
          <w:p>
            <w:r>
              <w:t>Navy dividers, cream teaching, pale-navy scoring/placement, pale-rust own-cost/decision. No gradients, shadows, glows or non-brand colours. See the Visual Rhythm and Colour report.</w:t>
            </w:r>
          </w:p>
        </w:tc>
      </w:tr>
      <w:tr>
        <w:tc>
          <w:tcPr>
            <w:tcW w:type="dxa" w:w="2880"/>
          </w:tcPr>
          <w:p>
            <w:r>
              <w:t>13. 2×2 mark placement</w:t>
            </w:r>
          </w:p>
        </w:tc>
        <w:tc>
          <w:tcPr>
            <w:tcW w:type="dxa" w:w="2880"/>
          </w:tcPr>
          <w:p>
            <w:r>
              <w:t>Pass</w:t>
            </w:r>
          </w:p>
        </w:tc>
        <w:tc>
          <w:tcPr>
            <w:tcW w:type="dxa" w:w="2880"/>
          </w:tcPr>
          <w:p>
            <w:r>
              <w:t>Canonical mark on the title, six navy dividers and the close (seven slides); not on every slide.</w:t>
            </w:r>
          </w:p>
        </w:tc>
      </w:tr>
      <w:tr>
        <w:tc>
          <w:tcPr>
            <w:tcW w:type="dxa" w:w="2880"/>
          </w:tcPr>
          <w:p>
            <w:r>
              <w:t>14. Canonical language preserved</w:t>
            </w:r>
          </w:p>
        </w:tc>
        <w:tc>
          <w:tcPr>
            <w:tcW w:type="dxa" w:w="2880"/>
          </w:tcPr>
          <w:p>
            <w:r>
              <w:t>Pass</w:t>
            </w:r>
          </w:p>
        </w:tc>
        <w:tc>
          <w:tcPr>
            <w:tcW w:type="dxa" w:w="2880"/>
          </w:tcPr>
          <w:p>
            <w:r>
              <w:t>Ten canonical lines verbatim; no withdrawn language restored. Copy removed from slide faces moved to notes or already in the workbook.</w:t>
            </w:r>
          </w:p>
        </w:tc>
      </w:tr>
      <w:tr>
        <w:tc>
          <w:tcPr>
            <w:tcW w:type="dxa" w:w="2880"/>
          </w:tcPr>
          <w:p>
            <w:r>
              <w:t>15. Reframe header corrected</w:t>
            </w:r>
          </w:p>
        </w:tc>
        <w:tc>
          <w:tcPr>
            <w:tcW w:type="dxa" w:w="2880"/>
          </w:tcPr>
          <w:p>
            <w:r>
              <w:t>Pass</w:t>
            </w:r>
          </w:p>
        </w:tc>
        <w:tc>
          <w:tcPr>
            <w:tcW w:type="dxa" w:w="2880"/>
          </w:tcPr>
          <w:p>
            <w:r>
              <w:t>Right-column header reads ‘WHAT YOU NEED TO READ FIRST’; eyebrow returns to ‘THE REFRAME’; the framework does not imply it decides the stay-or-leave answer.</w:t>
            </w:r>
          </w:p>
        </w:tc>
      </w:tr>
      <w:tr>
        <w:tc>
          <w:tcPr>
            <w:tcW w:type="dxa" w:w="2880"/>
          </w:tcPr>
          <w:p>
            <w:r>
              <w:t>16. Animation applied to the master deck</w:t>
            </w:r>
          </w:p>
        </w:tc>
        <w:tc>
          <w:tcPr>
            <w:tcW w:type="dxa" w:w="2880"/>
          </w:tcPr>
          <w:p>
            <w:r>
              <w:t>Pass (none applied)</w:t>
            </w:r>
          </w:p>
        </w:tc>
        <w:tc>
          <w:tcPr>
            <w:tcW w:type="dxa" w:w="2880"/>
          </w:tcPr>
          <w:p>
            <w:r>
              <w:t>No animation was applied to the static production master. An Animation Implementation Guide v1.0 is provided. An animated rehearsal copy was not produced because native PowerPoint animation could not be implemented and tested reliably here.</w:t>
            </w:r>
          </w:p>
        </w:tc>
      </w:tr>
      <w:tr>
        <w:tc>
          <w:tcPr>
            <w:tcW w:type="dxa" w:w="2880"/>
          </w:tcPr>
          <w:p>
            <w:r>
              <w:t>17. Fonts embedded; fallback stress retained</w:t>
            </w:r>
          </w:p>
        </w:tc>
        <w:tc>
          <w:tcPr>
            <w:tcW w:type="dxa" w:w="2880"/>
          </w:tcPr>
          <w:p>
            <w:r>
              <w:t>Pass</w:t>
            </w:r>
          </w:p>
        </w:tc>
        <w:tc>
          <w:tcPr>
            <w:tcW w:type="dxa" w:w="2880"/>
          </w:tcPr>
          <w:p>
            <w:r>
              <w:t>DM Sans (regular, bold) and Cormorant Garamond embedded (embedTrueTypeFonts set); fallback stress render retained.</w:t>
            </w:r>
          </w:p>
        </w:tc>
      </w:tr>
      <w:tr>
        <w:tc>
          <w:tcPr>
            <w:tcW w:type="dxa" w:w="2880"/>
          </w:tcPr>
          <w:p>
            <w:r>
              <w:t>18. PDF presentation backup</w:t>
            </w:r>
          </w:p>
        </w:tc>
        <w:tc>
          <w:tcPr>
            <w:tcW w:type="dxa" w:w="2880"/>
          </w:tcPr>
          <w:p>
            <w:r>
              <w:t>Pass</w:t>
            </w:r>
          </w:p>
        </w:tc>
        <w:tc>
          <w:tcPr>
            <w:tcW w:type="dxa" w:w="2880"/>
          </w:tcPr>
          <w:p>
            <w:r>
              <w:t>Deck_v4.11_BACKUP.pdf — 43 pages in fully-revealed state.</w:t>
            </w:r>
          </w:p>
        </w:tc>
      </w:tr>
      <w:tr>
        <w:tc>
          <w:tcPr>
            <w:tcW w:type="dxa" w:w="2880"/>
          </w:tcPr>
          <w:p>
            <w:r>
              <w:t>19. 16:9 format; notes intact; company unnamed; no hidden employer metadata</w:t>
            </w:r>
          </w:p>
        </w:tc>
        <w:tc>
          <w:tcPr>
            <w:tcW w:type="dxa" w:w="2880"/>
          </w:tcPr>
          <w:p>
            <w:r>
              <w:t>Pass</w:t>
            </w:r>
          </w:p>
        </w:tc>
        <w:tc>
          <w:tcPr>
            <w:tcW w:type="dxa" w:w="2880"/>
          </w:tcPr>
          <w:p>
            <w:r>
              <w:t>Slide size 13.333×7.5 in. Speaker notes retained and extended with moved copy. No employer name in any slide, note, workbook page, metadata or filename.</w:t>
            </w:r>
          </w:p>
        </w:tc>
      </w:tr>
      <w:tr>
        <w:tc>
          <w:tcPr>
            <w:tcW w:type="dxa" w:w="2880"/>
          </w:tcPr>
          <w:p>
            <w:r>
              <w:t>20. Staged-release test</w:t>
            </w:r>
          </w:p>
        </w:tc>
        <w:tc>
          <w:tcPr>
            <w:tcW w:type="dxa" w:w="2880"/>
          </w:tcPr>
          <w:p>
            <w:r>
              <w:t>Not yet tested</w:t>
            </w:r>
          </w:p>
        </w:tc>
        <w:tc>
          <w:tcPr>
            <w:tcW w:type="dxa" w:w="2880"/>
          </w:tcPr>
          <w:p>
            <w:r>
              <w:t>Visible Open Part B transition present and a two-minute release band documented; live behaviour is a rehearsal question.</w:t>
            </w:r>
          </w:p>
        </w:tc>
      </w:tr>
      <w:tr>
        <w:tc>
          <w:tcPr>
            <w:tcW w:type="dxa" w:w="2880"/>
          </w:tcPr>
          <w:p>
            <w:r>
              <w:t>21. Anonymous-poll test</w:t>
            </w:r>
          </w:p>
        </w:tc>
        <w:tc>
          <w:tcPr>
            <w:tcW w:type="dxa" w:w="2880"/>
          </w:tcPr>
          <w:p>
            <w:r>
              <w:t>Not yet tested</w:t>
            </w:r>
          </w:p>
        </w:tc>
        <w:tc>
          <w:tcPr>
            <w:tcW w:type="dxa" w:w="2880"/>
          </w:tcPr>
          <w:p>
            <w:r>
              <w:t>Method specified (numbered cards withdrawn; QR/web or unnumbered folded slips; Boundary and Incomplete-axis options; no early distribution reveal; Did-your wording; Down/No change/Up). No method selected or tested.</w:t>
            </w:r>
          </w:p>
        </w:tc>
      </w:tr>
      <w:tr>
        <w:tc>
          <w:tcPr>
            <w:tcW w:type="dxa" w:w="2880"/>
          </w:tcPr>
          <w:p>
            <w:r>
              <w:t>22. Timing from both rehearsals</w:t>
            </w:r>
          </w:p>
        </w:tc>
        <w:tc>
          <w:tcPr>
            <w:tcW w:type="dxa" w:w="2880"/>
          </w:tcPr>
          <w:p>
            <w:r>
              <w:t>Not yet tested</w:t>
            </w:r>
          </w:p>
        </w:tc>
        <w:tc>
          <w:tcPr>
            <w:tcW w:type="dxa" w:w="2880"/>
          </w:tcPr>
          <w:p>
            <w:r>
              <w:t>Neither rehearsal has run. Core about 105–107 minutes incl a two-minute release, inside a binding two-hour block.</w:t>
            </w:r>
          </w:p>
        </w:tc>
      </w:tr>
    </w:tbl>
    <w:p>
      <w:pPr>
        <w:pStyle w:val="Heading1"/>
      </w:pPr>
      <w:r>
        <w:t>Launch gates (all open)</w:t>
      </w:r>
    </w:p>
    <w:p>
      <w:r>
        <w:t>1. PowerPoint test on the exact delivery computer. 2. Adobe Acrobat Reader runtime test. 3. Anonymous polling tool selected and tested end to end. 4. Staged release tested in a live room. 5. Rehearsal one. 6. Rehearsal two. Also outstanding: a LibreOffice render sign-off and founder confirmation of the held opening-story beats. Do not call the product launch-ready until these are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