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DM Sans" w:cs="DM Sans" w:eastAsia="DM Sans" w:hAnsi="DM Sans"/>
          <w:b/>
          <w:bCs/>
          <w:color w:val="C9A84C"/>
          <w:sz w:val="15"/>
          <w:szCs w:val="15"/>
        </w:rPr>
        <w:t xml:space="preserve">DECK AND WORKBOOK CROSSWALK</w:t>
      </w:r>
    </w:p>
    <w:p>
      <w:pPr>
        <w:spacing w:after="160" w:before="240"/>
      </w:pPr>
      <w:r>
        <w:rPr>
          <w:rFonts w:ascii="Cormorant Garamond" w:cs="Cormorant Garamond" w:eastAsia="Cormorant Garamond" w:hAnsi="Cormorant Garamond"/>
          <w:b/>
          <w:bCs/>
          <w:color w:val="0F2347"/>
          <w:sz w:val="40"/>
          <w:szCs w:val="40"/>
        </w:rPr>
        <w:t xml:space="preserve">Should I Stay or Should I Move?</w:t>
      </w:r>
    </w:p>
    <w:p>
      <w:pPr>
        <w:pBdr>
          <w:bottom w:val="single" w:color="C9A84C" w:sz="6"/>
        </w:pBdr>
        <w:spacing w:after="120" w:line="276"/>
      </w:pPr>
      <w:r>
        <w:rPr>
          <w:rFonts w:ascii="DM Sans" w:cs="DM Sans" w:eastAsia="DM Sans" w:hAnsi="DM Sans"/>
          <w:b/>
          <w:bCs/>
          <w:color w:val="1A1A1A"/>
          <w:sz w:val="20"/>
          <w:szCs w:val="20"/>
        </w:rPr>
        <w:t>Deck v4.11 · Staged workbooks v1.3 · Complete record v5.8 · Instrument v1.1</w:t>
      </w:r>
    </w:p>
    <w:p>
      <w:pPr>
        <w:spacing w:after="200" w:line="276"/>
      </w:pPr>
      <w:r>
        <w:rPr>
          <w:rFonts w:ascii="DM Sans" w:cs="DM Sans" w:eastAsia="DM Sans" w:hAnsi="DM Sans"/>
          <w:color w:val="1A1A1A"/>
          <w:sz w:val="20"/>
          <w:szCs w:val="20"/>
        </w:rPr>
        <w:t>Workbook references are given as A: page n for the Initial Read workbook (pages 1–7; the psychological-safety page is now page 6 and the first placement is page 7) and B: page n for the Calibration and Decision workbook (pages 8–26, page numbering continuous with Part A). The complete record carries the same page numbers throughout.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500"/>
        <w:gridCol w:w="1300"/>
        <w:gridCol w:w="1700"/>
        <w:gridCol w:w="2400"/>
        <w:gridCol w:w="1900"/>
      </w:tblGrid>
      <w:tr>
        <w:trPr>
          <w:tblHeader/>
        </w:trPr>
        <w:tc>
          <w:tcPr>
            <w:tcW w:type="dxa" w:w="7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Slide</w:t>
            </w:r>
          </w:p>
        </w:tc>
        <w:tc>
          <w:tcPr>
            <w:tcW w:type="dxa" w:w="10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Workbook</w:t>
            </w:r>
          </w:p>
        </w:tc>
        <w:tc>
          <w:tcPr>
            <w:tcW w:type="dxa" w:w="15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Purpose</w:t>
            </w:r>
          </w:p>
        </w:tc>
        <w:tc>
          <w:tcPr>
            <w:tcW w:type="dxa" w:w="13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Participant action</w:t>
            </w:r>
          </w:p>
        </w:tc>
        <w:tc>
          <w:tcPr>
            <w:tcW w:type="dxa" w:w="17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Facilitator action</w:t>
            </w:r>
          </w:p>
        </w:tc>
        <w:tc>
          <w:tcPr>
            <w:tcW w:type="dxa" w:w="24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Exact wording that must match</w:t>
            </w:r>
          </w:p>
        </w:tc>
        <w:tc>
          <w:tcPr>
            <w:tcW w:type="dxa" w:w="1900"/>
            <w:shd w:fill="0F23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Change in this pass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A: cover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Holding slide, version check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Confirm v1.1 across all assets; anonymous method tested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Capability Formation Instrument Version 1.1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Deck version line now reads v4.10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2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A: p2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Boundary and promise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Say the boundary verbatim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…what category of move your evidence supports testing.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Unchanged from v4.7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Unnamed March 2026 story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Spoken; company never named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I had spent eighteen years… / The room reads your position whether or not you have.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Several script facts await founder confirmation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4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Institutional vantage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Do not equate replaceability with Density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These are questions institutional rooms often weigh. Density and Optionality help you read the formation and portability questions underneath them.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Closing claim replaced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Reframe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Honour the stay-or-move question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Is this position still forming me, and does what it built travel?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6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A: p2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Orientation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Say twelve twice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How the two-hour session works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Title now reads two-hour session; two-hour block is the binding calendar constraint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7–8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Density and Optionality defined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Optionality has two halves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Optionality is not having offers in hand.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9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p25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Brief AI application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60–90 seconds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AI does not create Compounding.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10–15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A: pp4–5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Initial read and totals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Score twelve, total both axes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 evidence requested; no signalling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Statements 1–12 verbatim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Now delivered in Part A only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16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A: p6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The four states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Do not celebrate Compounding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Your current state reveals a form of exposure your job title cannot.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17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A: p6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Psychological safety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Never cut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 low Optionality score is not a verdict — it may reflect context-bound capability, weak translation, limited exposure, or a combination.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Panel rewritten on slide and on workbook p7; collision repaired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18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A: p7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First placement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Tick a square, write confidence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Anonymous four-square count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If either score sits between 17 and 21, you are on a boundary.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Hands-up count removed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19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 released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Staged release point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Open Part B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Only after every first placement is complete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Part B · released after your first placement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New in this pass: visible “Open Part B now” transition slide; two-minute release band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20–21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p9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Calibration opens; evidence protocol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 yet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Say the low-score and marker sentences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 score without an evidence line is a guess with decimal points.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22–23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Misreadings one and two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Mark statements to rescore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Read the wrong version as reasonable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Praise, dependence, seniority and internal reputation can all coexist with declining formation.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24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p25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Promotion application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 live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90 seconds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Why promotion can stop forming a high performer / This describes a possible change in Density.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Renamed; guard added; title collision repaired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25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Misreading three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Mark statements to rescore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Prevents damage from a low score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 low Optionality score may reflect context-bound capability, weak translation, limited exposure, or a combination.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Closing line rewritten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26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p10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Correction map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Read entering belief, pause, reveal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 low Optionality score may be about translation or exposure, not ability.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Row five rewritten on slide and on workbook p10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27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pp12–15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Evidence-backed rescore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Rescore twelve with evidence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Sixteen minutes; never cut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Evidence in both directions. Do not change your first number.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28–29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p16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Second placement and sensitivity check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Re-total, run the check, place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Anonymous counts only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Neighbouring-score sensitivity check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Both collisions repaired; capture language rewritten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30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p17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What moved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Complete the comparison page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Three anonymous counts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You calibrated the first reading against a fixed window, a symmetrical evidence standard and named misreadings rather than intuition alone.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Calibration claim corrected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31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What just happened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 accuracy claim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Self-assessment has a structural limitation: the same person supplies both the evidence and the judgment.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Overstatement removed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32–34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pp19–20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State costs and own cost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Write four readings and one line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Finish page 20 after the session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 concise reference is on workbook page 19.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Card overflow on slide 32 repaired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35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p21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Seven move categories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Tick one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Illustrative pairings only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Seek an external perspective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Footer collision repaired; pairings qualified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36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p22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Next-Move Decision setup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 yet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Read lines 01–05 from the workbook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The category of move my evidence supports testing is…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Footer collision repaired; no response collection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37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p22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Eight minutes of protected writing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Write ten lines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Never below eight minutes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Nobody talks, including me.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Band now 86–94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38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p22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Voluntary reads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Read lines 6, 7, 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Permission script first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 scores, no employer names, no third-party names.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Permission script added; verbatim capture now permissioned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39–40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pp23–24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Field Kit, thirty-day process, rescore, close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Put a rescore date in line 10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Diagnostic is not the rescore tool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One line a week, workbook page 23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Spacing and footer collisions repaired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41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p26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Appendix: Position Exposure Signals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Q&amp;A or replay only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Questions to investigate, not predictions.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Footer collision repaired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42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p25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Appendix: AI and Compounding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Q&amp;A or replay only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AI does not create Compounding.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>43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B: p25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Appendix: legibility and translation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None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Moved out of the timed core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Legibility is not bragging.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Relocated from the 82–87 band</w:t>
            </w:r>
          </w:p>
        </w:tc>
      </w:tr>
      <w:tr>
        <w:tc>
          <w:tcPr>
            <w:tcW w:type="dxa" w:w="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removed</w:t>
            </w:r>
          </w:p>
        </w:tc>
        <w:tc>
          <w:tcPr>
            <w:tcW w:type="dxa" w:w="10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If you lead a team</w:t>
            </w:r>
          </w:p>
        </w:tc>
        <w:tc>
          <w:tcPr>
            <w:tcW w:type="dxa" w:w="13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24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900"/>
            <w:shd w:fill="F5F0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color w:val="1A1A1A"/>
                <w:sz w:val="15"/>
                <w:szCs w:val="15"/>
              </w:rPr>
              <w:t xml:space="preserve">Deleted in v4.8. No enterprise teaser replaces it</w:t>
            </w:r>
          </w:p>
        </w:tc>
      </w:tr>
    </w:tbl>
    <w:p>
      <w:pPr>
        <w:spacing w:after="120" w:line="276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/>
      </w:r>
    </w:p>
    <w:sectPr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2026-08-01T22:24:49.551Z</dcterms:created>
  <dcterms:modified xsi:type="dcterms:W3CDTF">2026-08-01T22:24:49.551Z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