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SLIDE VISUAL RHYTHM AND COLOR APPLICATION REPORT</w:t>
      </w:r>
    </w:p>
    <w:p>
      <w:r>
        <w:rPr>
          <w:i/>
        </w:rPr>
        <w:t>Workshop Deck v4.11</w:t>
      </w:r>
    </w:p>
    <w:p>
      <w:r>
        <w:t>The brand palette is unchanged. Colour is used to give the deck rhythm so it does not read as forty consecutive cream pages, and so a participant can tell from the colour treatment when a slide asks them to do something. No gradients, shadows, glows, or non-brand colours were introduced.</w:t>
      </w:r>
    </w:p>
    <w:p>
      <w:pPr>
        <w:pStyle w:val="Heading1"/>
      </w:pPr>
      <w:r>
        <w:t>Palette</w:t>
      </w:r>
    </w:p>
    <w:p>
      <w:pPr>
        <w:pStyle w:val="ListBullet"/>
      </w:pPr>
      <w:r>
        <w:rPr>
          <w:b/>
        </w:rPr>
        <w:t xml:space="preserve">Deep navy: </w:t>
      </w:r>
      <w:r>
        <w:t>#0F2347 — authority, dividers, section changes</w:t>
      </w:r>
    </w:p>
    <w:p>
      <w:pPr>
        <w:pStyle w:val="ListBullet"/>
      </w:pPr>
      <w:r>
        <w:rPr>
          <w:b/>
        </w:rPr>
        <w:t xml:space="preserve">Sand / cream: </w:t>
      </w:r>
      <w:r>
        <w:t>#F5F0E8 — teaching and reading space</w:t>
      </w:r>
    </w:p>
    <w:p>
      <w:pPr>
        <w:pStyle w:val="ListBullet"/>
      </w:pPr>
      <w:r>
        <w:rPr>
          <w:b/>
        </w:rPr>
        <w:t xml:space="preserve">Gold: </w:t>
      </w:r>
      <w:r>
        <w:t>#C9A84C — rules, numbers, eyebrows, the 2×2 outline</w:t>
      </w:r>
    </w:p>
    <w:p>
      <w:pPr>
        <w:pStyle w:val="ListBullet"/>
      </w:pPr>
      <w:r>
        <w:rPr>
          <w:b/>
        </w:rPr>
        <w:t xml:space="preserve">Rust: </w:t>
      </w:r>
      <w:r>
        <w:t>#C1440E — one key correction / emphasis; the filled 2×2 square</w:t>
      </w:r>
    </w:p>
    <w:p>
      <w:pPr>
        <w:pStyle w:val="ListBullet"/>
      </w:pPr>
      <w:r>
        <w:rPr>
          <w:b/>
        </w:rPr>
        <w:t xml:space="preserve">White: </w:t>
      </w:r>
      <w:r>
        <w:t>#FFFFFF — reading space on dark</w:t>
      </w:r>
    </w:p>
    <w:p>
      <w:pPr>
        <w:pStyle w:val="ListBullet"/>
      </w:pPr>
      <w:r>
        <w:rPr>
          <w:b/>
        </w:rPr>
        <w:t xml:space="preserve">Pale navy: </w:t>
      </w:r>
      <w:r>
        <w:t>#E9EDF3 — scoring and placement action slides</w:t>
      </w:r>
    </w:p>
    <w:p>
      <w:pPr>
        <w:pStyle w:val="ListBullet"/>
      </w:pPr>
      <w:r>
        <w:rPr>
          <w:b/>
        </w:rPr>
        <w:t xml:space="preserve">Pale rust: </w:t>
      </w:r>
      <w:r>
        <w:t>#F5E8E1 — the participant's own cost and decision</w:t>
      </w:r>
    </w:p>
    <w:p>
      <w:pPr>
        <w:pStyle w:val="Heading1"/>
      </w:pPr>
      <w:r>
        <w:t>Slide modes as applied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Slides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2880"/>
          </w:tcPr>
          <w:p>
            <w:r>
              <w:t>A. Deep-navy dividers</w:t>
            </w:r>
          </w:p>
        </w:tc>
        <w:tc>
          <w:tcPr>
            <w:tcW w:type="dxa" w:w="2880"/>
          </w:tcPr>
          <w:p>
            <w:r>
              <w:t>1 (title), 3 (March-2026 origin story), 19 (Open Part B), 20 (calibration divider), 32 (state-cost divider), 37 (silent working block), 40 (final close)</w:t>
            </w:r>
          </w:p>
        </w:tc>
        <w:tc>
          <w:tcPr>
            <w:tcW w:type="dxa" w:w="2880"/>
          </w:tcPr>
          <w:p>
            <w:r>
              <w:t>White/gold type on navy; the 2×2 mark appears here.</w:t>
            </w:r>
          </w:p>
        </w:tc>
      </w:tr>
      <w:tr>
        <w:tc>
          <w:tcPr>
            <w:tcW w:type="dxa" w:w="2880"/>
          </w:tcPr>
          <w:p>
            <w:r>
              <w:t>B. Cream teaching</w:t>
            </w:r>
          </w:p>
        </w:tc>
        <w:tc>
          <w:tcPr>
            <w:tcW w:type="dxa" w:w="2880"/>
          </w:tcPr>
          <w:p>
            <w:r>
              <w:t>2, 4–9, 16, 17, 21–26, 30, 31, 33, 35, 38, 39, 41–43</w:t>
            </w:r>
          </w:p>
        </w:tc>
        <w:tc>
          <w:tcPr>
            <w:tcW w:type="dxa" w:w="2880"/>
          </w:tcPr>
          <w:p>
            <w:r>
              <w:t>Navy type on cream; gold eyebrows and rules; rust used once per slide at most for a single correction or emphasis.</w:t>
            </w:r>
          </w:p>
        </w:tc>
      </w:tr>
      <w:tr>
        <w:tc>
          <w:tcPr>
            <w:tcW w:type="dxa" w:w="2880"/>
          </w:tcPr>
          <w:p>
            <w:r>
              <w:t>C. Pale-navy action (scoring / placement)</w:t>
            </w:r>
          </w:p>
        </w:tc>
        <w:tc>
          <w:tcPr>
            <w:tcW w:type="dxa" w:w="2880"/>
          </w:tcPr>
          <w:p>
            <w:r>
              <w:t>10–15 (initial scoring and readings), 18 (first placement), 27 (corrected scoring), 28 (second placement)</w:t>
            </w:r>
          </w:p>
        </w:tc>
        <w:tc>
          <w:tcPr>
            <w:tcW w:type="dxa" w:w="2880"/>
          </w:tcPr>
          <w:p>
            <w:r>
              <w:t>Navy type on pale navy #E9EDF3 — signals ‘score or place yourself here’.</w:t>
            </w:r>
          </w:p>
        </w:tc>
      </w:tr>
      <w:tr>
        <w:tc>
          <w:tcPr>
            <w:tcW w:type="dxa" w:w="2880"/>
          </w:tcPr>
          <w:p>
            <w:r>
              <w:t>D. Pale-rust action (your own words)</w:t>
            </w:r>
          </w:p>
        </w:tc>
        <w:tc>
          <w:tcPr>
            <w:tcW w:type="dxa" w:w="2880"/>
          </w:tcPr>
          <w:p>
            <w:r>
              <w:t>34 (write your own cost), 36 (the Next-Move Decision)</w:t>
            </w:r>
          </w:p>
        </w:tc>
        <w:tc>
          <w:tcPr>
            <w:tcW w:type="dxa" w:w="2880"/>
          </w:tcPr>
          <w:p>
            <w:r>
              <w:t>Navy type on pale rust #F5E8E1 — signals ‘write your own decision here’.</w:t>
            </w:r>
          </w:p>
        </w:tc>
      </w:tr>
    </w:tbl>
    <w:p>
      <w:pPr>
        <w:pStyle w:val="Heading1"/>
      </w:pPr>
      <w:r>
        <w:t>2×2 mark</w:t>
      </w:r>
    </w:p>
    <w:p>
      <w:r>
        <w:t>The canonical Capability Formation 2×2 mark (three gold/cream-outlined squares with one rust-filled square, the Compounding corner) is placed top-right on the title slide, the major navy dividers, and the final close — seven slides in total. It is used consistently but sparingly and does not appear on every slide.</w:t>
      </w:r>
    </w:p>
    <w:p>
      <w:pPr>
        <w:pStyle w:val="Heading1"/>
      </w:pPr>
      <w:r>
        <w:t>Accent discipline</w:t>
      </w:r>
    </w:p>
    <w:p>
      <w:pPr>
        <w:pStyle w:val="ListBullet"/>
      </w:pPr>
      <w:r>
        <w:t>Gold carries rules, numbers, eyebrows and the mark outline.</w:t>
      </w:r>
    </w:p>
    <w:p>
      <w:pPr>
        <w:pStyle w:val="ListBullet"/>
      </w:pPr>
      <w:r>
        <w:t>Rust is used for at most one correction or emphasis per slide, never as a large decorative field.</w:t>
      </w:r>
    </w:p>
    <w:p>
      <w:pPr>
        <w:pStyle w:val="ListBullet"/>
      </w:pPr>
      <w:r>
        <w:t>Navy carries authority and section change.</w:t>
      </w:r>
    </w:p>
    <w:p>
      <w:pPr>
        <w:pStyle w:val="ListBullet"/>
      </w:pPr>
      <w:r>
        <w:t>Cream and white are reading space.</w:t>
      </w:r>
    </w:p>
    <w:p>
      <w:pPr>
        <w:pStyle w:val="ListBullet"/>
      </w:pPr>
      <w:r>
        <w:t>No slide uses rust as a large background except where the brand already does (the workbook state cards, which are unchanged).</w:t>
      </w:r>
    </w:p>
    <w:p>
      <w:pPr>
        <w:pStyle w:val="Heading1"/>
      </w:pPr>
      <w:r>
        <w:t>Render safety</w:t>
      </w:r>
    </w:p>
    <w:p>
      <w:r>
        <w:t>Every slide was rendered at real font metrics and, separately, with a wide fallback serif/sans with shrink-to-fit simulated. No text-rectangle collisions and no footer intrusions were detected in either pass. Fonts remain embedded. See the QA report for the render-test status and the human sign-off that is still required in PowerPoint and LibreOffice.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