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SLIDE WORD-COUNT BEFORE-AND-AFTER REPORT</w:t>
      </w:r>
    </w:p>
    <w:p>
      <w:r>
        <w:rPr>
          <w:i/>
        </w:rPr>
        <w:t>Workshop Deck v4.10 → v4.11</w:t>
      </w:r>
    </w:p>
    <w:p>
      <w:r>
        <w:t>Visible word count excludes the title, the eyebrow/kicker, the two footer lines, and page references, per the brief. Structural labels and instrument content are counted. Target for a normal teaching slide is 35–50 words, acceptable maximum ~60. Exceptions (participants must see exact content) may exceed the target; the reason is stated.</w:t>
      </w:r>
    </w:p>
    <w:p>
      <w:r>
        <w:t>Deck total visible body words: 3412 → 2840  (−572, 17% reduction across 43 slides).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Slide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moved / preserved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Reason if still &gt; 60</w:t>
            </w:r>
          </w:p>
        </w:tc>
      </w:tr>
      <w:tr>
        <w:tc>
          <w:tcPr>
            <w:tcW w:type="dxa" w:w="1728"/>
          </w:tcPr>
          <w:p>
            <w:r>
              <w:t>1 · Should I Stay or Should I Move?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Unchanged.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 · What this read will not do</w:t>
            </w:r>
          </w:p>
        </w:tc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Moved to notes: positions-change safety line, the provisional-read restatement, the group-room caveat, the recording sentence.</w:t>
            </w:r>
          </w:p>
        </w:tc>
        <w:tc>
          <w:tcPr>
            <w:tcW w:type="dxa" w:w="1728"/>
          </w:tcPr>
          <w:p>
            <w:r>
              <w:t>Boundary participants must see; kept the promise + specialist-judgment line.</w:t>
            </w:r>
          </w:p>
        </w:tc>
      </w:tr>
      <w:tr>
        <w:tc>
          <w:tcPr>
            <w:tcW w:type="dxa" w:w="1728"/>
          </w:tcPr>
          <w:p>
            <w:r>
              <w:t>3 · The room you are not in.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Unchanged.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 · What gets weighed when the doors close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Trimmed the framing sentence; full framing in notes.</w:t>
            </w:r>
          </w:p>
        </w:tc>
        <w:tc>
          <w:tcPr>
            <w:tcW w:type="dxa" w:w="1728"/>
          </w:tcPr>
          <w:p>
            <w:r>
              <w:t>Exception: the four institutional questions must be seen exactly.</w:t>
            </w:r>
          </w:p>
        </w:tc>
      </w:tr>
      <w:tr>
        <w:tc>
          <w:tcPr>
            <w:tcW w:type="dxa" w:w="1728"/>
          </w:tcPr>
          <w:p>
            <w:r>
              <w:t>5 · The question underneath the question</w:t>
            </w:r>
          </w:p>
        </w:tc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Right-column header changed to WHAT YOU NEED TO READ FIRST; eyebrow reverted to THE REFRAME; headlines caveat moved to notes.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 · How the two-hour session works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Step descriptions tightened; calibration footer moved to notes.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 · Density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Definition and property sentences tightened.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 · Optionality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Definition tightened; rebuild-elsewhere restatement moved to notes.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 · What AI changes about this reading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‘Not a separate score’ line moved to notes.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 · Your initial read: statements 1 to 3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Footer tightened.</w:t>
            </w:r>
          </w:p>
        </w:tc>
        <w:tc>
          <w:tcPr>
            <w:tcW w:type="dxa" w:w="1728"/>
          </w:tcPr>
          <w:p>
            <w:r>
              <w:t>Exception: the three instrument statements must be seen exactly.</w:t>
            </w:r>
          </w:p>
        </w:tc>
      </w:tr>
      <w:tr>
        <w:tc>
          <w:tcPr>
            <w:tcW w:type="dxa" w:w="1728"/>
          </w:tcPr>
          <w:p>
            <w:r>
              <w:t>11 · Your initial read: statements 4 to 6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Footer tightened.</w:t>
            </w:r>
          </w:p>
        </w:tc>
        <w:tc>
          <w:tcPr>
            <w:tcW w:type="dxa" w:w="1728"/>
          </w:tcPr>
          <w:p>
            <w:r>
              <w:t>Exception: instrument statements.</w:t>
            </w:r>
          </w:p>
        </w:tc>
      </w:tr>
      <w:tr>
        <w:tc>
          <w:tcPr>
            <w:tcW w:type="dxa" w:w="1728"/>
          </w:tcPr>
          <w:p>
            <w:r>
              <w:t>12 · Your initial Density reading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Second-number restatement moved to notes.</w:t>
            </w:r>
          </w:p>
        </w:tc>
        <w:tc>
          <w:tcPr>
            <w:tcW w:type="dxa" w:w="1728"/>
          </w:tcPr>
          <w:p>
            <w:r>
              <w:t>Exception: the boundary bands must be seen.</w:t>
            </w:r>
          </w:p>
        </w:tc>
      </w:tr>
      <w:tr>
        <w:tc>
          <w:tcPr>
            <w:tcW w:type="dxa" w:w="1728"/>
          </w:tcPr>
          <w:p>
            <w:r>
              <w:t>13 · Your initial read: statements 7 to 9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Footer tightened.</w:t>
            </w:r>
          </w:p>
        </w:tc>
        <w:tc>
          <w:tcPr>
            <w:tcW w:type="dxa" w:w="1728"/>
          </w:tcPr>
          <w:p>
            <w:r>
              <w:t>Exception: instrument statements.</w:t>
            </w:r>
          </w:p>
        </w:tc>
      </w:tr>
      <w:tr>
        <w:tc>
          <w:tcPr>
            <w:tcW w:type="dxa" w:w="1728"/>
          </w:tcPr>
          <w:p>
            <w:r>
              <w:t>14 · Your initial read: statements 10 to 12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Footer tightened.</w:t>
            </w:r>
          </w:p>
        </w:tc>
        <w:tc>
          <w:tcPr>
            <w:tcW w:type="dxa" w:w="1728"/>
          </w:tcPr>
          <w:p>
            <w:r>
              <w:t>Exception: instrument statements.</w:t>
            </w:r>
          </w:p>
        </w:tc>
      </w:tr>
      <w:tr>
        <w:tc>
          <w:tcPr>
            <w:tcW w:type="dxa" w:w="1728"/>
          </w:tcPr>
          <w:p>
            <w:r>
              <w:t>15 · Your initial Optionality reading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Unchanged.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 · The four states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Unchanged.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 · Read this before you place yourself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Four distinctions kept; each shortened to one line; fuller wording in notes/workbook page 6.</w:t>
            </w:r>
          </w:p>
        </w:tc>
        <w:tc>
          <w:tcPr>
            <w:tcW w:type="dxa" w:w="1728"/>
          </w:tcPr>
          <w:p>
            <w:r>
              <w:t>Exception: psychological-safety content participants must see (four distinctions + nine-box).</w:t>
            </w:r>
          </w:p>
        </w:tc>
      </w:tr>
      <w:tr>
        <w:tc>
          <w:tcPr>
            <w:tcW w:type="dxa" w:w="1728"/>
          </w:tcPr>
          <w:p>
            <w:r>
              <w:t>18 · First placement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Instruction and footer tightened.</w:t>
            </w:r>
          </w:p>
        </w:tc>
        <w:tc>
          <w:tcPr>
            <w:tcW w:type="dxa" w:w="1728"/>
          </w:tcPr>
          <w:p>
            <w:r>
              <w:t>Exception: the placement matrix and boundary rule.</w:t>
            </w:r>
          </w:p>
        </w:tc>
      </w:tr>
      <w:tr>
        <w:tc>
          <w:tcPr>
            <w:tcW w:type="dxa" w:w="1728"/>
          </w:tcPr>
          <w:p>
            <w:r>
              <w:t>19 · Open Part B now.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Unchanged.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 · Now we correct the reading.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Unchanged.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 · The evidence protocol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Subtitle/footer only.</w:t>
            </w:r>
          </w:p>
        </w:tc>
        <w:tc>
          <w:tcPr>
            <w:tcW w:type="dxa" w:w="1728"/>
          </w:tcPr>
          <w:p>
            <w:r>
              <w:t>Exception: the evidence protocol; symmetric requirement and the ? rule kept intact.</w:t>
            </w:r>
          </w:p>
        </w:tc>
      </w:tr>
      <w:tr>
        <w:tc>
          <w:tcPr>
            <w:tcW w:type="dxa" w:w="1728"/>
          </w:tcPr>
          <w:p>
            <w:r>
              <w:t>22 · Scoring the intended life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Subtitle → ‘Misreading one.’; corrected example condensed, full example narrated from notes.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23 · Confusing being valued with being formed</w:t>
            </w:r>
          </w:p>
        </w:tc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Subtitle → ‘Misreading two.’; both examples condensed, full versions in notes.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24 · Why promotion can stop forming a high pe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Body sentence tightened.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 xml:space="preserve">25 · Reading low Optionality as a verdict on 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Subtitle → ‘Misreading three.’; both examples condensed.</w:t>
            </w:r>
          </w:p>
        </w:tc>
        <w:tc>
          <w:tcPr>
            <w:tcW w:type="dxa" w:w="1728"/>
          </w:tcPr>
          <w:p>
            <w:r>
              <w:t>Paired examples plus the canonical correction line keep this just above target.</w:t>
            </w:r>
          </w:p>
        </w:tc>
      </w:tr>
      <w:tr>
        <w:tc>
          <w:tcPr>
            <w:tcW w:type="dxa" w:w="1728"/>
          </w:tcPr>
          <w:p>
            <w:r>
              <w:t>26 · The whole map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No change to the five belief pairs.</w:t>
            </w:r>
          </w:p>
        </w:tc>
        <w:tc>
          <w:tcPr>
            <w:tcW w:type="dxa" w:w="1728"/>
          </w:tcPr>
          <w:p>
            <w:r>
              <w:t>Exception: the correction map — five entering/exiting belief pairs, verbatim.</w:t>
            </w:r>
          </w:p>
        </w:tc>
      </w:tr>
      <w:tr>
        <w:tc>
          <w:tcPr>
            <w:tcW w:type="dxa" w:w="1728"/>
          </w:tcPr>
          <w:p>
            <w:r>
              <w:t>27 · Score all twelve again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Comparison sentence moved to notes.</w:t>
            </w:r>
          </w:p>
        </w:tc>
        <w:tc>
          <w:tcPr>
            <w:tcW w:type="dxa" w:w="1728"/>
          </w:tcPr>
          <w:p>
            <w:r>
              <w:t>Exception: the protocol-in-short reminder plus the scoring instruction.</w:t>
            </w:r>
          </w:p>
        </w:tc>
      </w:tr>
      <w:tr>
        <w:tc>
          <w:tcPr>
            <w:tcW w:type="dxa" w:w="1728"/>
          </w:tcPr>
          <w:p>
            <w:r>
              <w:t>28 · Re-total and place again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Unchanged.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29 · When the evidence remains uncertain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Subtitle/label hierarchy only.</w:t>
            </w:r>
          </w:p>
        </w:tc>
        <w:tc>
          <w:tcPr>
            <w:tcW w:type="dxa" w:w="1728"/>
          </w:tcPr>
          <w:p>
            <w:r>
              <w:t>Exception: the neighbouring-score sensitivity check — all operational steps kept.</w:t>
            </w:r>
          </w:p>
        </w:tc>
      </w:tr>
      <w:tr>
        <w:tc>
          <w:tcPr>
            <w:tcW w:type="dxa" w:w="1728"/>
          </w:tcPr>
          <w:p>
            <w:r>
              <w:t>30 · What moved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Reduced to the three anonymous questions plus one neutral line; calibration explanation and confidence line moved to notes.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31 · What just happened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Two sentences tightened.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32 · What your state is costing you.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Unchanged.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33 · What each state costs</w:t>
            </w:r>
          </w:p>
        </w:tc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Reduced to one concise line per state; IMMEDIATE COST / FALSE REASSURANCE structure and quotes moved to notes and retained in the workbook.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34 · Write your own cost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Unchanged.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35 · Seven categories of move</w:t>
            </w:r>
          </w:p>
        </w:tc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No change to the seven categories.</w:t>
            </w:r>
          </w:p>
        </w:tc>
        <w:tc>
          <w:tcPr>
            <w:tcW w:type="dxa" w:w="1728"/>
          </w:tcPr>
          <w:p>
            <w:r>
              <w:t>Exception: seven move-category names plus one line each.</w:t>
            </w:r>
          </w:p>
        </w:tc>
      </w:tr>
      <w:tr>
        <w:tc>
          <w:tcPr>
            <w:tcW w:type="dxa" w:w="1728"/>
          </w:tcPr>
          <w:p>
            <w:r>
              <w:t>36 · The Next-Move Decision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No change.</w:t>
            </w:r>
          </w:p>
        </w:tc>
        <w:tc>
          <w:tcPr>
            <w:tcW w:type="dxa" w:w="1728"/>
          </w:tcPr>
          <w:p>
            <w:r>
              <w:t>Exception: the five visible Next-Move Decision lines.</w:t>
            </w:r>
          </w:p>
        </w:tc>
      </w:tr>
      <w:tr>
        <w:tc>
          <w:tcPr>
            <w:tcW w:type="dxa" w:w="1728"/>
          </w:tcPr>
          <w:p>
            <w:r>
              <w:t>37 · Working session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Unchanged.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38 · Two or three of you, out loud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Facilitator behaviour line moved to notes.</w:t>
            </w:r>
          </w:p>
        </w:tc>
        <w:tc>
          <w:tcPr>
            <w:tcW w:type="dxa" w:w="1728"/>
          </w:tcPr>
          <w:p>
            <w:r>
              <w:t>Exception-adjacent: the three voluntary-read lines plus the privacy boundary.</w:t>
            </w:r>
          </w:p>
        </w:tc>
      </w:tr>
      <w:tr>
        <w:tc>
          <w:tcPr>
            <w:tcW w:type="dxa" w:w="1728"/>
          </w:tcPr>
          <w:p>
            <w:r>
              <w:t>39 · Where you go from here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Three element descriptions tightened; ‘nothing withheld’ line moved to notes.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40 · You have read your position. The move is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Unchanged.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41 · Position Exposure Signals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No change.</w:t>
            </w:r>
          </w:p>
        </w:tc>
        <w:tc>
          <w:tcPr>
            <w:tcW w:type="dxa" w:w="1728"/>
          </w:tcPr>
          <w:p>
            <w:r>
              <w:t>Exception: appendix reference for Q&amp;A — two columns of investigation questions.</w:t>
            </w:r>
          </w:p>
        </w:tc>
      </w:tr>
      <w:tr>
        <w:tc>
          <w:tcPr>
            <w:tcW w:type="dxa" w:w="1728"/>
          </w:tcPr>
          <w:p>
            <w:r>
              <w:t>42 · AI and Compounding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No change.</w:t>
            </w:r>
          </w:p>
        </w:tc>
        <w:tc>
          <w:tcPr>
            <w:tcW w:type="dxa" w:w="1728"/>
          </w:tcPr>
          <w:p>
            <w:r>
              <w:t>Exception: appendix reference for Q&amp;A.</w:t>
            </w:r>
          </w:p>
        </w:tc>
      </w:tr>
      <w:tr>
        <w:tc>
          <w:tcPr>
            <w:tcW w:type="dxa" w:w="1728"/>
          </w:tcPr>
          <w:p>
            <w:r>
              <w:t>43 · What translation actually means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No change.</w:t>
            </w:r>
          </w:p>
        </w:tc>
        <w:tc>
          <w:tcPr>
            <w:tcW w:type="dxa" w:w="1728"/>
          </w:tcPr>
          <w:p>
            <w:r>
              <w:t>Exception: appendix reference for Q&amp;A.</w:t>
            </w:r>
          </w:p>
        </w:tc>
      </w:tr>
    </w:tbl>
    <w:p>
      <w:pPr>
        <w:pStyle w:val="Heading1"/>
      </w:pPr>
      <w:r>
        <w:t>Canonical language preserved verbatim</w:t>
      </w:r>
    </w:p>
    <w:p>
      <w:r>
        <w:t>These lines were not rewritten: “This read will not tell you to stay or leave.” · “The room reads your position whether or not you have.” · “Density is not workload, busyness, pressure or intensity.” · “Optionality is not having offers in hand.” · “An intention is not evidence.” · “Being needed and being formed are separate conditions.” · “The second reading is more evidence-disciplined and more defensible than the first.” · “Self-assessment has a structural limitation: the same person supplies both the evidence and the judgment.” · “The category of move my evidence supports testing is…” · “You have read your position. The move is the next conversation.”</w:t>
      </w:r>
    </w:p>
    <w:p>
      <w:r>
        <w:t>No withdrawn language or unsupported claim was restored. All copy removed from a slide face was moved into that slide's speaker notes (tagged “[v4.11 — moved from slide face]”) or already exists in the workbook; nothing was deleted outright.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