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FILLABLE VERSUS PRINT COMPARISON</w:t>
      </w:r>
    </w:p>
    <w:p>
      <w:r>
        <w:rPr>
          <w:i/>
        </w:rPr>
        <w:t>Complete record v5.8 · Initial Read v1.3 · Calibration and Decision v1.3</w:t>
      </w:r>
    </w:p>
    <w:p>
      <w:r>
        <w:t>Method: each fillable file and its print counterpart were rendered at 144 dpi and compared page by page. Form-field widget appearances are not rendered, so the comparison reflects the page content layer. “Max delta” is the largest single-pixel greyscale difference (0–255); “Area” is the share of pixels differing by more than 24 levels. No page is called pixel-identical unless the measured difference is exactly zero.</w:t>
      </w:r>
    </w:p>
    <w:p>
      <w:pPr>
        <w:pStyle w:val="Heading2"/>
      </w:pPr>
      <w:r>
        <w:t>Complete Session Record v5.8 — 26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delta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Area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0.0181%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pPr>
        <w:pStyle w:val="Heading2"/>
      </w:pPr>
      <w:r>
        <w:t>Initial Read v1.3 — 7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delta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Area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0.0179%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pPr>
        <w:pStyle w:val="Heading2"/>
      </w:pPr>
      <w:r>
        <w:t>Calibration and Decision v1.3 — 20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delta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Area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0.0213%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pPr>
        <w:pStyle w:val="Heading1"/>
      </w:pPr>
      <w:r>
        <w:t>Where the files differ, and why</w:t>
      </w:r>
    </w:p>
    <w:p>
      <w:r>
        <w:t>On all three documents the only page that differs is page 1, the cover: the fillable footer version line reads “… FILLABLE” and the print reads “… PRINT”. That is an intended label difference and the only content-layer difference in any document. Every other page — including the Before-You-Start page carrying the tightened first-score callout — is pixel-identical between the fillable and print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