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NEW PUBLIC</w:t>
      </w:r>
    </w:p>
    <w:p>
      <w:pPr>
        <w:spacing w:before="0" w:after="80"/>
      </w:pPr>
      <w:r>
        <w:rPr>
          <w:b/>
          <w:i w:val="0"/>
          <w:color w:val="112345"/>
          <w:sz w:val="42"/>
        </w:rPr>
        <w:t>Your First 90 Days in a New Job: What Really Matters</w:t>
      </w:r>
    </w:p>
    <w:p>
      <w:pPr>
        <w:spacing w:before="0" w:after="280"/>
      </w:pPr>
      <w:r>
        <w:rPr>
          <w:b w:val="0"/>
          <w:i w:val="0"/>
          <w:color w:val="5A6B82"/>
          <w:sz w:val="20"/>
        </w:rPr>
        <w:t>Claim-boundary notes</w:t>
      </w:r>
    </w:p>
    <w:p>
      <w:pPr>
        <w:spacing w:before="0" w:after="240"/>
        <w:pBdr>
          <w:bottom w:val="single" w:sz="6" w:color="8A6D1E"/>
        </w:pBdr>
      </w:pPr>
    </w:p>
    <w:p>
      <w:pPr>
        <w:spacing w:after="80"/>
      </w:pPr>
      <w:r>
        <w:rPr>
          <w:b/>
          <w:color w:val="8A6D1E"/>
          <w:sz w:val="20"/>
        </w:rPr>
        <w:t xml:space="preserve">New public number  </w:t>
      </w:r>
      <w:r>
        <w:rPr>
          <w:sz w:val="21"/>
        </w:rPr>
        <w:t>V10</w:t>
      </w:r>
    </w:p>
    <w:p>
      <w:pPr>
        <w:spacing w:after="80"/>
      </w:pPr>
      <w:r>
        <w:rPr>
          <w:b/>
          <w:color w:val="8A6D1E"/>
          <w:sz w:val="20"/>
        </w:rPr>
        <w:t xml:space="preserve">Former roadmap number  </w:t>
      </w:r>
      <w:r>
        <w:rPr>
          <w:sz w:val="21"/>
        </w:rPr>
        <w:t>None. This is a new concept.</w:t>
      </w:r>
    </w:p>
    <w:p>
      <w:pPr>
        <w:spacing w:after="80"/>
      </w:pPr>
      <w:r>
        <w:rPr>
          <w:b/>
          <w:color w:val="8A6D1E"/>
          <w:sz w:val="20"/>
        </w:rPr>
        <w:t xml:space="preserve">Generated  </w:t>
      </w:r>
      <w:r>
        <w:rPr>
          <w:sz w:val="21"/>
        </w:rPr>
        <w:t>Monday, September 14, 2026 | 8:40 PM CT</w:t>
      </w:r>
    </w:p>
    <w:p>
      <w:pPr>
        <w:spacing w:before="0" w:after="160"/>
      </w:pPr>
      <w:r>
        <w:rPr>
          <w:b w:val="0"/>
          <w:i w:val="0"/>
          <w:sz w:val="22"/>
        </w:rPr>
        <w:t>Each row is a boundary the video keeps and where the package keeps it. A boundary is not a disclaimer to be cut for pace: in both of these videos it is part of the teaching.</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2016"/>
            <w:shd w:val="clear" w:color="auto" w:fill="F3EFE6"/>
          </w:tcPr>
          <w:p>
            <w:pPr>
              <w:spacing w:before="60" w:after="60" w:line="264" w:lineRule="auto"/>
            </w:pPr>
            <w:r/>
            <w:r>
              <w:rPr>
                <w:b/>
                <w:i w:val="0"/>
                <w:color w:val="112345"/>
                <w:sz w:val="17"/>
              </w:rPr>
              <w:t>THE BOUNDARY</w:t>
            </w:r>
          </w:p>
        </w:tc>
        <w:tc>
          <w:tcPr>
            <w:tcW w:type="dxa" w:w="3312"/>
            <w:shd w:val="clear" w:color="auto" w:fill="F3EFE6"/>
          </w:tcPr>
          <w:p>
            <w:pPr>
              <w:spacing w:before="60" w:after="60" w:line="264" w:lineRule="auto"/>
            </w:pPr>
            <w:r/>
            <w:r>
              <w:rPr>
                <w:b/>
                <w:i w:val="0"/>
                <w:color w:val="112345"/>
                <w:sz w:val="17"/>
              </w:rPr>
              <w:t>WHAT THE SCRIPT SAYS</w:t>
            </w:r>
          </w:p>
        </w:tc>
        <w:tc>
          <w:tcPr>
            <w:tcW w:type="dxa" w:w="4320"/>
            <w:shd w:val="clear" w:color="auto" w:fill="F3EFE6"/>
          </w:tcPr>
          <w:p>
            <w:pPr>
              <w:spacing w:before="60" w:after="60" w:line="264" w:lineRule="auto"/>
            </w:pPr>
            <w:r/>
            <w:r>
              <w:rPr>
                <w:b/>
                <w:i w:val="0"/>
                <w:color w:val="112345"/>
                <w:sz w:val="17"/>
              </w:rPr>
              <w:t>WHERE THE PACKAGE KEEPS IT</w:t>
            </w:r>
          </w:p>
        </w:tc>
      </w:tr>
      <w:tr>
        <w:tc>
          <w:tcPr>
            <w:tcW w:type="dxa" w:w="2016"/>
          </w:tcPr>
          <w:p>
            <w:pPr>
              <w:spacing w:before="60" w:after="60" w:line="264" w:lineRule="auto"/>
            </w:pPr>
            <w:r/>
            <w:r>
              <w:rPr>
                <w:b w:val="0"/>
                <w:i w:val="0"/>
                <w:sz w:val="16"/>
              </w:rPr>
              <w:t>No theatrical quick win</w:t>
            </w:r>
          </w:p>
        </w:tc>
        <w:tc>
          <w:tcPr>
            <w:tcW w:type="dxa" w:w="3312"/>
          </w:tcPr>
          <w:p>
            <w:pPr>
              <w:spacing w:before="60" w:after="60" w:line="264" w:lineRule="auto"/>
            </w:pPr>
            <w:r/>
            <w:r>
              <w:rPr>
                <w:b w:val="0"/>
                <w:i w:val="0"/>
                <w:sz w:val="16"/>
              </w:rPr>
              <w:t>I do not think everybody needs a giant visible win by day 90.</w:t>
            </w:r>
          </w:p>
        </w:tc>
        <w:tc>
          <w:tcPr>
            <w:tcW w:type="dxa" w:w="4320"/>
          </w:tcPr>
          <w:p>
            <w:pPr>
              <w:spacing w:before="60" w:after="60" w:line="264" w:lineRule="auto"/>
            </w:pPr>
            <w:r/>
            <w:r>
              <w:rPr>
                <w:b w:val="0"/>
                <w:i w:val="0"/>
                <w:sz w:val="16"/>
              </w:rPr>
              <w:t>The script names the reasons: some work has a long learning curve, some is regulated, some senior roles require context before intervention, some problems should not be solved quickly. The PROVE card asks what you can prove, not what you can win.</w:t>
            </w:r>
          </w:p>
        </w:tc>
      </w:tr>
      <w:tr>
        <w:tc>
          <w:tcPr>
            <w:tcW w:type="dxa" w:w="2016"/>
          </w:tcPr>
          <w:p>
            <w:pPr>
              <w:spacing w:before="60" w:after="60" w:line="264" w:lineRule="auto"/>
            </w:pPr>
            <w:r/>
            <w:r>
              <w:rPr>
                <w:b w:val="0"/>
                <w:i w:val="0"/>
                <w:sz w:val="16"/>
              </w:rPr>
              <w:t>No universal manager claim</w:t>
            </w:r>
          </w:p>
        </w:tc>
        <w:tc>
          <w:tcPr>
            <w:tcW w:type="dxa" w:w="3312"/>
          </w:tcPr>
          <w:p>
            <w:pPr>
              <w:spacing w:before="60" w:after="60" w:line="264" w:lineRule="auto"/>
            </w:pPr>
            <w:r/>
            <w:r>
              <w:rPr>
                <w:b w:val="0"/>
                <w:i w:val="0"/>
                <w:sz w:val="16"/>
              </w:rPr>
              <w:t>The script never says what every manager evaluates.</w:t>
            </w:r>
          </w:p>
        </w:tc>
        <w:tc>
          <w:tcPr>
            <w:tcW w:type="dxa" w:w="4320"/>
          </w:tcPr>
          <w:p>
            <w:pPr>
              <w:spacing w:before="60" w:after="60" w:line="264" w:lineRule="auto"/>
            </w:pPr>
            <w:r/>
            <w:r>
              <w:rPr>
                <w:b w:val="0"/>
                <w:i w:val="0"/>
                <w:sz w:val="16"/>
              </w:rPr>
              <w:t>The manager questions are questions to ask, not a claim about what managers do. No card generalizes them into a rule.</w:t>
            </w:r>
          </w:p>
        </w:tc>
      </w:tr>
      <w:tr>
        <w:tc>
          <w:tcPr>
            <w:tcW w:type="dxa" w:w="2016"/>
          </w:tcPr>
          <w:p>
            <w:pPr>
              <w:spacing w:before="60" w:after="60" w:line="264" w:lineRule="auto"/>
            </w:pPr>
            <w:r/>
            <w:r>
              <w:rPr>
                <w:b w:val="0"/>
                <w:i w:val="0"/>
                <w:sz w:val="16"/>
              </w:rPr>
              <w:t>Experience is not context</w:t>
            </w:r>
          </w:p>
        </w:tc>
        <w:tc>
          <w:tcPr>
            <w:tcW w:type="dxa" w:w="3312"/>
          </w:tcPr>
          <w:p>
            <w:pPr>
              <w:spacing w:before="60" w:after="60" w:line="264" w:lineRule="auto"/>
            </w:pPr>
            <w:r/>
            <w:r>
              <w:rPr>
                <w:b w:val="0"/>
                <w:i w:val="0"/>
                <w:sz w:val="16"/>
              </w:rPr>
              <w:t>You can be experienced and still be new to the context.</w:t>
            </w:r>
          </w:p>
        </w:tc>
        <w:tc>
          <w:tcPr>
            <w:tcW w:type="dxa" w:w="4320"/>
          </w:tcPr>
          <w:p>
            <w:pPr>
              <w:spacing w:before="60" w:after="60" w:line="264" w:lineRule="auto"/>
            </w:pPr>
            <w:r/>
            <w:r>
              <w:rPr>
                <w:b w:val="0"/>
                <w:i w:val="0"/>
                <w:sz w:val="16"/>
              </w:rPr>
              <w:t>That sentence is a full-screen card. The video never treats experience as worthless, and never treats it as sufficient.</w:t>
            </w:r>
          </w:p>
        </w:tc>
      </w:tr>
      <w:tr>
        <w:tc>
          <w:tcPr>
            <w:tcW w:type="dxa" w:w="2016"/>
          </w:tcPr>
          <w:p>
            <w:pPr>
              <w:spacing w:before="60" w:after="60" w:line="264" w:lineRule="auto"/>
            </w:pPr>
            <w:r/>
            <w:r>
              <w:rPr>
                <w:b w:val="0"/>
                <w:i w:val="0"/>
                <w:sz w:val="16"/>
              </w:rPr>
              <w:t>The reversal is not an exit instruction</w:t>
            </w:r>
          </w:p>
        </w:tc>
        <w:tc>
          <w:tcPr>
            <w:tcW w:type="dxa" w:w="3312"/>
          </w:tcPr>
          <w:p>
            <w:pPr>
              <w:spacing w:before="60" w:after="60" w:line="264" w:lineRule="auto"/>
            </w:pPr>
            <w:r/>
            <w:r>
              <w:rPr>
                <w:b w:val="0"/>
                <w:i w:val="0"/>
                <w:sz w:val="16"/>
              </w:rPr>
              <w:t>That does not automatically mean leave.</w:t>
            </w:r>
          </w:p>
        </w:tc>
        <w:tc>
          <w:tcPr>
            <w:tcW w:type="dxa" w:w="4320"/>
          </w:tcPr>
          <w:p>
            <w:pPr>
              <w:spacing w:before="60" w:after="60" w:line="264" w:lineRule="auto"/>
            </w:pPr>
            <w:r/>
            <w:r>
              <w:rPr>
                <w:b w:val="0"/>
                <w:i w:val="0"/>
                <w:sz w:val="16"/>
              </w:rPr>
              <w:t>The script protects legitimate change in the same breath: roles change, priorities change, organizations have real constraints. That protection is a card of its own and is not cut.</w:t>
            </w:r>
          </w:p>
        </w:tc>
      </w:tr>
      <w:tr>
        <w:tc>
          <w:tcPr>
            <w:tcW w:type="dxa" w:w="2016"/>
          </w:tcPr>
          <w:p>
            <w:pPr>
              <w:spacing w:before="60" w:after="60" w:line="264" w:lineRule="auto"/>
            </w:pPr>
            <w:r/>
            <w:r>
              <w:rPr>
                <w:b w:val="0"/>
                <w:i w:val="0"/>
                <w:sz w:val="16"/>
              </w:rPr>
              <w:t>READ does not mean silence</w:t>
            </w:r>
          </w:p>
        </w:tc>
        <w:tc>
          <w:tcPr>
            <w:tcW w:type="dxa" w:w="3312"/>
          </w:tcPr>
          <w:p>
            <w:pPr>
              <w:spacing w:before="60" w:after="60" w:line="264" w:lineRule="auto"/>
            </w:pPr>
            <w:r/>
            <w:r>
              <w:rPr>
                <w:b w:val="0"/>
                <w:i w:val="0"/>
                <w:sz w:val="16"/>
              </w:rPr>
              <w:t>READ does not mean sit quietly for 30 days and contribute nothing.</w:t>
            </w:r>
          </w:p>
        </w:tc>
        <w:tc>
          <w:tcPr>
            <w:tcW w:type="dxa" w:w="4320"/>
          </w:tcPr>
          <w:p>
            <w:pPr>
              <w:spacing w:before="60" w:after="60" w:line="264" w:lineRule="auto"/>
            </w:pPr>
            <w:r/>
            <w:r>
              <w:rPr>
                <w:b w:val="0"/>
                <w:i w:val="0"/>
                <w:sz w:val="16"/>
              </w:rPr>
              <w:t>The script says to raise a risk, contribute what is useful, and use the expertise you were hired for. The point is not to make yourself small.</w:t>
            </w:r>
          </w:p>
        </w:tc>
      </w:tr>
    </w:tbl>
    <w:p>
      <w:pPr>
        <w:spacing w:after="120"/>
      </w:pPr>
    </w:p>
    <w:p>
      <w:pPr>
        <w:spacing w:before="320" w:after="120"/>
        <w:keepNext w:val="1"/>
        <w:keepLines w:val="1"/>
      </w:pPr>
      <w:r>
        <w:rPr>
          <w:b/>
          <w:i w:val="0"/>
          <w:color w:val="112345"/>
          <w:sz w:val="26"/>
        </w:rPr>
        <w:t>RESEARCH AND EVIDENCE IN THIS VIDEO</w:t>
      </w:r>
    </w:p>
    <w:p>
      <w:pPr>
        <w:spacing w:before="0" w:after="160"/>
      </w:pPr>
      <w:r>
        <w:rPr>
          <w:b w:val="0"/>
          <w:i w:val="0"/>
          <w:sz w:val="21"/>
        </w:rPr>
        <w:t>This video cites no external research and none is invented for it. It is practitioner teaching: a read Temidayo offers in her own voice, phrased throughout as what she would do rather than as a finding. The phrasing matters and is preserved: I do not think, I would use a different question, I would have a very simple conversation. No study, statistic, employer behavior or outcome is claimed anywhere in the package.</w:t>
      </w:r>
    </w:p>
    <w:p>
      <w:pPr>
        <w:spacing w:before="320" w:after="120"/>
        <w:keepNext w:val="1"/>
        <w:keepLines w:val="1"/>
      </w:pPr>
      <w:r>
        <w:rPr>
          <w:b/>
          <w:i w:val="0"/>
          <w:color w:val="112345"/>
          <w:sz w:val="26"/>
        </w:rPr>
        <w:t>NEVER, IN EITHER VIDEO</w:t>
      </w:r>
    </w:p>
    <w:p>
      <w:pPr>
        <w:spacing w:after="80" w:line="278" w:lineRule="auto"/>
        <w:ind w:left="547" w:hanging="230"/>
      </w:pPr>
      <w:r>
        <w:rPr>
          <w:sz w:val="21"/>
        </w:rPr>
        <w:t>•   No invented research, employer behavior, personal experience or outcome.</w:t>
      </w:r>
    </w:p>
    <w:p>
      <w:pPr>
        <w:spacing w:after="80" w:line="278" w:lineRule="auto"/>
        <w:ind w:left="547" w:hanging="230"/>
      </w:pPr>
      <w:r>
        <w:rPr>
          <w:sz w:val="21"/>
        </w:rPr>
        <w:t>•   No invented runtime, public URL, upload date, thumbnail result, retention figure or music license.</w:t>
      </w:r>
    </w:p>
    <w:p>
      <w:pPr>
        <w:spacing w:after="80" w:line="278" w:lineRule="auto"/>
        <w:ind w:left="547" w:hanging="230"/>
      </w:pPr>
      <w:r>
        <w:rPr>
          <w:sz w:val="21"/>
        </w:rPr>
        <w:t>•   No chapters and no SRT timing before the final edit.</w:t>
      </w:r>
    </w:p>
    <w:p>
      <w:pPr>
        <w:spacing w:after="80" w:line="278" w:lineRule="auto"/>
        <w:ind w:left="547" w:hanging="230"/>
      </w:pPr>
      <w:r>
        <w:rPr>
          <w:sz w:val="21"/>
        </w:rPr>
        <w:t>•   No former-roadmap number: both videos are new concepts and no lineage number exists to cite.</w:t>
      </w:r>
    </w:p>
    <w:p>
      <w:pPr>
        <w:spacing w:after="80" w:line="278" w:lineRule="auto"/>
        <w:ind w:left="547" w:hanging="230"/>
      </w:pPr>
      <w:r>
        <w:rPr>
          <w:sz w:val="21"/>
        </w:rPr>
        <w:t>•   No second spoken CTA, and no product named in the spoken script or on any card.</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Both videos are new concepts. No former-roadmap number exists for either and none was invented.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