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What to Do When Your New Job Isn’t the Job You Accepted</w:t>
      </w:r>
    </w:p>
    <w:p>
      <w:pPr>
        <w:spacing w:before="0" w:after="280"/>
      </w:pPr>
      <w:r>
        <w:rPr>
          <w:b w:val="0"/>
          <w:i w:val="0"/>
          <w:color w:val="5A6B82"/>
          <w:sz w:val="20"/>
        </w:rPr>
        <w:t>Claim-boundary notes</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Generated  </w:t>
      </w:r>
      <w:r>
        <w:rPr>
          <w:sz w:val="21"/>
        </w:rPr>
        <w:t>Monday, September 14, 2026 | 8:40 PM CT</w:t>
      </w:r>
    </w:p>
    <w:p>
      <w:pPr>
        <w:spacing w:before="0" w:after="160"/>
      </w:pPr>
      <w:r>
        <w:rPr>
          <w:b w:val="0"/>
          <w:i w:val="0"/>
          <w:sz w:val="22"/>
        </w:rPr>
        <w:t>Each row is a boundary the video keeps and where the package keeps it. A boundary is not a disclaimer to be cut for pace: in both of these videos it is part of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016"/>
            <w:shd w:val="clear" w:color="auto" w:fill="F3EFE6"/>
          </w:tcPr>
          <w:p>
            <w:pPr>
              <w:spacing w:before="60" w:after="60" w:line="264" w:lineRule="auto"/>
            </w:pPr>
            <w:r/>
            <w:r>
              <w:rPr>
                <w:b/>
                <w:i w:val="0"/>
                <w:color w:val="112345"/>
                <w:sz w:val="17"/>
              </w:rPr>
              <w:t>THE BOUNDARY</w:t>
            </w:r>
          </w:p>
        </w:tc>
        <w:tc>
          <w:tcPr>
            <w:tcW w:type="dxa" w:w="3312"/>
            <w:shd w:val="clear" w:color="auto" w:fill="F3EFE6"/>
          </w:tcPr>
          <w:p>
            <w:pPr>
              <w:spacing w:before="60" w:after="60" w:line="264" w:lineRule="auto"/>
            </w:pPr>
            <w:r/>
            <w:r>
              <w:rPr>
                <w:b/>
                <w:i w:val="0"/>
                <w:color w:val="112345"/>
                <w:sz w:val="17"/>
              </w:rPr>
              <w:t>WHAT THE SCRIPT SAYS</w:t>
            </w:r>
          </w:p>
        </w:tc>
        <w:tc>
          <w:tcPr>
            <w:tcW w:type="dxa" w:w="4320"/>
            <w:shd w:val="clear" w:color="auto" w:fill="F3EFE6"/>
          </w:tcPr>
          <w:p>
            <w:pPr>
              <w:spacing w:before="60" w:after="60" w:line="264" w:lineRule="auto"/>
            </w:pPr>
            <w:r/>
            <w:r>
              <w:rPr>
                <w:b/>
                <w:i w:val="0"/>
                <w:color w:val="112345"/>
                <w:sz w:val="17"/>
              </w:rPr>
              <w:t>WHERE THE PACKAGE KEEPS IT</w:t>
            </w:r>
          </w:p>
        </w:tc>
      </w:tr>
      <w:tr>
        <w:tc>
          <w:tcPr>
            <w:tcW w:type="dxa" w:w="2016"/>
          </w:tcPr>
          <w:p>
            <w:pPr>
              <w:spacing w:before="60" w:after="60" w:line="264" w:lineRule="auto"/>
            </w:pPr>
            <w:r/>
            <w:r>
              <w:rPr>
                <w:b w:val="0"/>
                <w:i w:val="0"/>
                <w:sz w:val="16"/>
              </w:rPr>
              <w:t>The employer is not the villain</w:t>
            </w:r>
          </w:p>
        </w:tc>
        <w:tc>
          <w:tcPr>
            <w:tcW w:type="dxa" w:w="3312"/>
          </w:tcPr>
          <w:p>
            <w:pPr>
              <w:spacing w:before="60" w:after="60" w:line="264" w:lineRule="auto"/>
            </w:pPr>
            <w:r/>
            <w:r>
              <w:rPr>
                <w:b w:val="0"/>
                <w:i w:val="0"/>
                <w:sz w:val="16"/>
              </w:rPr>
              <w:t>A job can change for legitimate reasons.</w:t>
            </w:r>
          </w:p>
        </w:tc>
        <w:tc>
          <w:tcPr>
            <w:tcW w:type="dxa" w:w="4320"/>
          </w:tcPr>
          <w:p>
            <w:pPr>
              <w:spacing w:before="60" w:after="60" w:line="264" w:lineRule="auto"/>
            </w:pPr>
            <w:r/>
            <w:r>
              <w:rPr>
                <w:b w:val="0"/>
                <w:i w:val="0"/>
                <w:sz w:val="16"/>
              </w:rPr>
              <w:t>Roles change, priorities move, managers inherit new problems, organizations reorganize. Those lines open the video and are on the boundary card. No card, no Short and no Riverside instruction frames the organization as having lied.</w:t>
            </w:r>
          </w:p>
        </w:tc>
      </w:tr>
      <w:tr>
        <w:tc>
          <w:tcPr>
            <w:tcW w:type="dxa" w:w="2016"/>
          </w:tcPr>
          <w:p>
            <w:pPr>
              <w:spacing w:before="60" w:after="60" w:line="264" w:lineRule="auto"/>
            </w:pPr>
            <w:r/>
            <w:r>
              <w:rPr>
                <w:b w:val="0"/>
                <w:i w:val="0"/>
                <w:sz w:val="16"/>
              </w:rPr>
              <w:t>Bait-and-switch is not a label</w:t>
            </w:r>
          </w:p>
        </w:tc>
        <w:tc>
          <w:tcPr>
            <w:tcW w:type="dxa" w:w="3312"/>
          </w:tcPr>
          <w:p>
            <w:pPr>
              <w:spacing w:before="60" w:after="60" w:line="264" w:lineRule="auto"/>
            </w:pPr>
            <w:r/>
            <w:r>
              <w:rPr>
                <w:b w:val="0"/>
                <w:i w:val="0"/>
                <w:sz w:val="16"/>
              </w:rPr>
              <w:t>Before you call it a bait-and-switch, I want you to slow the read down.</w:t>
            </w:r>
          </w:p>
        </w:tc>
        <w:tc>
          <w:tcPr>
            <w:tcW w:type="dxa" w:w="4320"/>
          </w:tcPr>
          <w:p>
            <w:pPr>
              <w:spacing w:before="60" w:after="60" w:line="264" w:lineRule="auto"/>
            </w:pPr>
            <w:r/>
            <w:r>
              <w:rPr>
                <w:b w:val="0"/>
                <w:i w:val="0"/>
                <w:sz w:val="16"/>
              </w:rPr>
              <w:t>The phrase appears once, as the reading the viewer is asked to slow down. It is never used as a verdict and never appears on a card.</w:t>
            </w:r>
          </w:p>
        </w:tc>
      </w:tr>
      <w:tr>
        <w:tc>
          <w:tcPr>
            <w:tcW w:type="dxa" w:w="2016"/>
          </w:tcPr>
          <w:p>
            <w:pPr>
              <w:spacing w:before="60" w:after="60" w:line="264" w:lineRule="auto"/>
            </w:pPr>
            <w:r/>
            <w:r>
              <w:rPr>
                <w:b w:val="0"/>
                <w:i w:val="0"/>
                <w:sz w:val="16"/>
              </w:rPr>
              <w:t>Drift is not always downward</w:t>
            </w:r>
          </w:p>
        </w:tc>
        <w:tc>
          <w:tcPr>
            <w:tcW w:type="dxa" w:w="3312"/>
          </w:tcPr>
          <w:p>
            <w:pPr>
              <w:spacing w:before="60" w:after="60" w:line="264" w:lineRule="auto"/>
            </w:pPr>
            <w:r/>
            <w:r>
              <w:rPr>
                <w:b w:val="0"/>
                <w:i w:val="0"/>
                <w:sz w:val="16"/>
              </w:rPr>
              <w:t>Sometimes the actual role is better than the one you expected.</w:t>
            </w:r>
          </w:p>
        </w:tc>
        <w:tc>
          <w:tcPr>
            <w:tcW w:type="dxa" w:w="4320"/>
          </w:tcPr>
          <w:p>
            <w:pPr>
              <w:spacing w:before="60" w:after="60" w:line="264" w:lineRule="auto"/>
            </w:pPr>
            <w:r/>
            <w:r>
              <w:rPr>
                <w:b w:val="0"/>
                <w:i w:val="0"/>
                <w:sz w:val="16"/>
              </w:rPr>
              <w:t>The EXPECTED against ACTUAL comparison shows both directions. The better reading is on the card, not only the narrower one.</w:t>
            </w:r>
          </w:p>
        </w:tc>
      </w:tr>
      <w:tr>
        <w:tc>
          <w:tcPr>
            <w:tcW w:type="dxa" w:w="2016"/>
          </w:tcPr>
          <w:p>
            <w:pPr>
              <w:spacing w:before="60" w:after="60" w:line="264" w:lineRule="auto"/>
            </w:pPr>
            <w:r/>
            <w:r>
              <w:rPr>
                <w:b w:val="0"/>
                <w:i w:val="0"/>
                <w:sz w:val="16"/>
              </w:rPr>
              <w:t>The framework is not a verdict</w:t>
            </w:r>
          </w:p>
        </w:tc>
        <w:tc>
          <w:tcPr>
            <w:tcW w:type="dxa" w:w="3312"/>
          </w:tcPr>
          <w:p>
            <w:pPr>
              <w:spacing w:before="60" w:after="60" w:line="264" w:lineRule="auto"/>
            </w:pPr>
            <w:r/>
            <w:r>
              <w:rPr>
                <w:b w:val="0"/>
                <w:i w:val="0"/>
                <w:sz w:val="16"/>
              </w:rPr>
              <w:t>This framework does not tell you whether to leave.</w:t>
            </w:r>
          </w:p>
        </w:tc>
        <w:tc>
          <w:tcPr>
            <w:tcW w:type="dxa" w:w="4320"/>
          </w:tcPr>
          <w:p>
            <w:pPr>
              <w:spacing w:before="60" w:after="60" w:line="264" w:lineRule="auto"/>
            </w:pPr>
            <w:r/>
            <w:r>
              <w:rPr>
                <w:b w:val="0"/>
                <w:i w:val="0"/>
                <w:sz w:val="16"/>
              </w:rPr>
              <w:t>Stay, stay for now, or plan an exit are all kept open on the boundary card, in the script's own words.</w:t>
            </w:r>
          </w:p>
        </w:tc>
      </w:tr>
      <w:tr>
        <w:tc>
          <w:tcPr>
            <w:tcW w:type="dxa" w:w="2016"/>
          </w:tcPr>
          <w:p>
            <w:pPr>
              <w:spacing w:before="60" w:after="60" w:line="264" w:lineRule="auto"/>
            </w:pPr>
            <w:r/>
            <w:r>
              <w:rPr>
                <w:b w:val="0"/>
                <w:i w:val="0"/>
                <w:sz w:val="16"/>
              </w:rPr>
              <w:t>Constraints are real</w:t>
            </w:r>
          </w:p>
        </w:tc>
        <w:tc>
          <w:tcPr>
            <w:tcW w:type="dxa" w:w="3312"/>
          </w:tcPr>
          <w:p>
            <w:pPr>
              <w:spacing w:before="60" w:after="60" w:line="264" w:lineRule="auto"/>
            </w:pPr>
            <w:r/>
            <w:r>
              <w:rPr>
                <w:b w:val="0"/>
                <w:i w:val="0"/>
                <w:sz w:val="16"/>
              </w:rPr>
              <w:t>Compensation, health, caregiving, immigration, geography, timing, the market, and financial runway can all shape what is possible.</w:t>
            </w:r>
          </w:p>
        </w:tc>
        <w:tc>
          <w:tcPr>
            <w:tcW w:type="dxa" w:w="4320"/>
          </w:tcPr>
          <w:p>
            <w:pPr>
              <w:spacing w:before="60" w:after="60" w:line="264" w:lineRule="auto"/>
            </w:pPr>
            <w:r/>
            <w:r>
              <w:rPr>
                <w:b w:val="0"/>
                <w:i w:val="0"/>
                <w:sz w:val="16"/>
              </w:rPr>
              <w:t>Named on a card of their own, so the video is not advice for people with no constraints.</w:t>
            </w:r>
          </w:p>
        </w:tc>
      </w:tr>
    </w:tbl>
    <w:p>
      <w:pPr>
        <w:spacing w:after="120"/>
      </w:pPr>
    </w:p>
    <w:p>
      <w:pPr>
        <w:spacing w:before="320" w:after="120"/>
        <w:keepNext w:val="1"/>
        <w:keepLines w:val="1"/>
      </w:pPr>
      <w:r>
        <w:rPr>
          <w:b/>
          <w:i w:val="0"/>
          <w:color w:val="112345"/>
          <w:sz w:val="26"/>
        </w:rPr>
        <w:t>RESEARCH AND EVIDENCE IN THIS VIDEO</w:t>
      </w:r>
    </w:p>
    <w:p>
      <w:pPr>
        <w:spacing w:before="0" w:after="160"/>
      </w:pPr>
      <w:r>
        <w:rPr>
          <w:b w:val="0"/>
          <w:i w:val="0"/>
          <w:sz w:val="21"/>
        </w:rPr>
        <w:t>This video cites no external research and none is invented for it. It is practitioner teaching, phrased as a read rather than a finding: I use four questions for that, I would look at four costs, I would avoid two extremes. No study, statistic, employer intent or outcome is claimed anywhere in the package, and no claim is made about how often role drift happens.</w:t>
      </w:r>
    </w:p>
    <w:p>
      <w:pPr>
        <w:spacing w:before="320" w:after="120"/>
        <w:keepNext w:val="1"/>
        <w:keepLines w:val="1"/>
      </w:pPr>
      <w:r>
        <w:rPr>
          <w:b/>
          <w:i w:val="0"/>
          <w:color w:val="112345"/>
          <w:sz w:val="26"/>
        </w:rPr>
        <w:t>NEVER, IN EITHER VIDEO</w:t>
      </w:r>
    </w:p>
    <w:p>
      <w:pPr>
        <w:spacing w:after="80" w:line="278" w:lineRule="auto"/>
        <w:ind w:left="547" w:hanging="230"/>
      </w:pPr>
      <w:r>
        <w:rPr>
          <w:sz w:val="21"/>
        </w:rPr>
        <w:t>•   No invented research, employer behavior, personal experience or outcome.</w:t>
      </w:r>
    </w:p>
    <w:p>
      <w:pPr>
        <w:spacing w:after="80" w:line="278" w:lineRule="auto"/>
        <w:ind w:left="547" w:hanging="230"/>
      </w:pPr>
      <w:r>
        <w:rPr>
          <w:sz w:val="21"/>
        </w:rPr>
        <w:t>•   No invented runtime, public URL, upload date, thumbnail result, retention figure or music license.</w:t>
      </w:r>
    </w:p>
    <w:p>
      <w:pPr>
        <w:spacing w:after="80" w:line="278" w:lineRule="auto"/>
        <w:ind w:left="547" w:hanging="230"/>
      </w:pPr>
      <w:r>
        <w:rPr>
          <w:sz w:val="21"/>
        </w:rPr>
        <w:t>•   No chapters and no SRT timing before the final edit.</w:t>
      </w:r>
    </w:p>
    <w:p>
      <w:pPr>
        <w:spacing w:after="80" w:line="278" w:lineRule="auto"/>
        <w:ind w:left="547" w:hanging="230"/>
      </w:pPr>
      <w:r>
        <w:rPr>
          <w:sz w:val="21"/>
        </w:rPr>
        <w:t>•   No former-roadmap number: both videos are new concepts and no lineage number exists to cite.</w:t>
      </w:r>
    </w:p>
    <w:p>
      <w:pPr>
        <w:spacing w:after="80" w:line="278" w:lineRule="auto"/>
        <w:ind w:left="547" w:hanging="230"/>
      </w:pPr>
      <w:r>
        <w:rPr>
          <w:sz w:val="21"/>
        </w:rPr>
        <w:t>•   No second spoken CTA, and no product named in the spoken script or on any card.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Both videos are new concepts. No former-roadmap number exists for either and none was invented.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