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6</w:t>
      </w:r>
    </w:p>
    <w:p>
      <w:pPr>
        <w:spacing w:before="0" w:after="80"/>
      </w:pPr>
      <w:r>
        <w:rPr>
          <w:b/>
          <w:i w:val="0"/>
          <w:color w:val="112345"/>
          <w:sz w:val="42"/>
        </w:rPr>
        <w:t>Should I Make an Internal Move? 3 Questions to Decide</w:t>
      </w:r>
    </w:p>
    <w:p>
      <w:pPr>
        <w:spacing w:before="0" w:after="280"/>
      </w:pPr>
      <w:r>
        <w:rPr>
          <w:b w:val="0"/>
          <w:i w:val="0"/>
          <w:color w:val="5A6B82"/>
          <w:sz w:val="20"/>
        </w:rPr>
        <w:t>Approved recording master, reproduced for the recording session  ·  September 8, 2026</w:t>
      </w:r>
    </w:p>
    <w:p>
      <w:pPr>
        <w:spacing w:before="0" w:after="240"/>
        <w:pBdr>
          <w:bottom w:val="single" w:sz="6" w:color="8A6D1E"/>
        </w:pBdr>
      </w:pPr>
    </w:p>
    <w:p>
      <w:pPr>
        <w:spacing w:before="200" w:after="200"/>
        <w:ind w:left="216"/>
        <w:pBdr>
          <w:left w:val="single" w:sz="18" w:color="9B2C10" w:space="8"/>
        </w:pBdr>
        <w:keepNext w:val="1"/>
        <w:keepLines w:val="1"/>
      </w:pPr>
      <w:r>
        <w:rPr>
          <w:b/>
          <w:color w:val="9B2C10"/>
          <w:sz w:val="21"/>
        </w:rPr>
        <w:t>This is a faithful copy of Video_6_Revised_Recording_Master_v1.0.docx. That file is the spoken source of truth. Nothing in the spoken copy below was rewritten, shortened or restructured.</w:t>
      </w:r>
    </w:p>
    <w:p>
      <w:pPr>
        <w:spacing w:after="80"/>
      </w:pPr>
      <w:r>
        <w:rPr>
          <w:b/>
          <w:color w:val="8A6D1E"/>
          <w:sz w:val="20"/>
        </w:rPr>
        <w:t xml:space="preserve">Thumbnail  </w:t>
      </w:r>
      <w:r>
        <w:rPr>
          <w:sz w:val="21"/>
        </w:rPr>
        <w:t>YOU MAY NOT NEED TO LEAVE</w:t>
      </w:r>
    </w:p>
    <w:p>
      <w:pPr>
        <w:spacing w:after="80"/>
      </w:pPr>
      <w:r>
        <w:rPr>
          <w:b/>
          <w:color w:val="8A6D1E"/>
          <w:sz w:val="20"/>
        </w:rPr>
        <w:t xml:space="preserve">Framework  </w:t>
      </w:r>
      <w:r>
        <w:rPr>
          <w:sz w:val="21"/>
        </w:rPr>
        <w:t>Three questions: Work, Judgment, Evidence</w:t>
      </w:r>
    </w:p>
    <w:p>
      <w:pPr>
        <w:spacing w:after="80"/>
      </w:pPr>
      <w:r>
        <w:rPr>
          <w:b/>
          <w:color w:val="8A6D1E"/>
          <w:sz w:val="20"/>
        </w:rPr>
        <w:t xml:space="preserve">Target runtime  </w:t>
      </w:r>
      <w:r>
        <w:rPr>
          <w:sz w:val="21"/>
        </w:rPr>
        <w:t>Approximately 11:30 to 12:30 finished. Do not pad to force runtime.</w:t>
      </w:r>
    </w:p>
    <w:p>
      <w:pPr>
        <w:spacing w:after="80"/>
      </w:pPr>
      <w:r>
        <w:rPr>
          <w:b/>
          <w:color w:val="8A6D1E"/>
          <w:sz w:val="20"/>
        </w:rPr>
        <w:t xml:space="preserve">CTA  </w:t>
      </w:r>
      <w:r>
        <w:rPr>
          <w:sz w:val="21"/>
        </w:rPr>
        <w:t>Career Decision Evidence Check   https://temidayoafonja.com/career-decisions</w:t>
      </w:r>
    </w:p>
    <w:p>
      <w:pPr>
        <w:spacing w:after="80"/>
      </w:pPr>
      <w:r>
        <w:rPr>
          <w:b/>
          <w:color w:val="8A6D1E"/>
          <w:sz w:val="20"/>
        </w:rPr>
        <w:t xml:space="preserve">Watch Next  </w:t>
      </w:r>
      <w:r>
        <w:rPr>
          <w:sz w:val="21"/>
        </w:rPr>
        <w:t>Are You Growing, or Just Being Given More Work?  (Video 7)</w:t>
      </w:r>
    </w:p>
    <w:p>
      <w:pPr>
        <w:spacing w:after="80"/>
      </w:pPr>
      <w:r>
        <w:rPr>
          <w:b/>
          <w:color w:val="8A6D1E"/>
          <w:sz w:val="20"/>
        </w:rPr>
        <w:t xml:space="preserve">Recording format  </w:t>
      </w:r>
      <w:r>
        <w:rPr>
          <w:sz w:val="21"/>
        </w:rPr>
        <w:t>Horizontal 16:9, camera-led teaching</w:t>
      </w:r>
    </w:p>
    <w:p>
      <w:pPr>
        <w:spacing w:after="80"/>
      </w:pPr>
      <w:r>
        <w:rPr>
          <w:b/>
          <w:color w:val="8A6D1E"/>
          <w:sz w:val="20"/>
        </w:rPr>
        <w:t xml:space="preserve">Spoken length  </w:t>
      </w:r>
      <w:r>
        <w:rPr>
          <w:sz w:val="21"/>
        </w:rPr>
        <w:t>1511 words</w:t>
      </w:r>
    </w:p>
    <w:p>
      <w:pPr>
        <w:spacing w:before="320" w:after="120"/>
        <w:keepNext w:val="1"/>
        <w:keepLines w:val="1"/>
      </w:pPr>
      <w:r>
        <w:rPr>
          <w:b/>
          <w:i w:val="0"/>
          <w:color w:val="112345"/>
          <w:sz w:val="26"/>
        </w:rPr>
        <w:t>RECORDING SCRIPT</w:t>
      </w:r>
    </w:p>
    <w:p>
      <w:pPr>
        <w:spacing w:before="0" w:after="200"/>
      </w:pPr>
      <w:r>
        <w:rPr>
          <w:b w:val="0"/>
          <w:i w:val="0"/>
          <w:color w:val="5A6B82"/>
          <w:sz w:val="19"/>
        </w:rPr>
        <w:t>Section labels are production markers and are not spoken.</w:t>
      </w:r>
    </w:p>
    <w:p>
      <w:pPr>
        <w:spacing w:before="320" w:after="100"/>
        <w:keepNext w:val="1"/>
        <w:keepLines w:val="1"/>
      </w:pPr>
      <w:r>
        <w:rPr>
          <w:b/>
          <w:i w:val="0"/>
          <w:color w:val="8A6D1E"/>
          <w:sz w:val="20"/>
        </w:rPr>
        <w:t>HOOK</w:t>
      </w:r>
    </w:p>
    <w:p>
      <w:pPr>
        <w:spacing w:before="0" w:after="200"/>
      </w:pPr>
      <w:r>
        <w:rPr>
          <w:b w:val="0"/>
          <w:i w:val="0"/>
          <w:sz w:val="24"/>
        </w:rPr>
        <w:t>You are looking at a role inside your own company, and everything about it feels familiar. Same logo. Same systems. Maybe some of the same people.</w:t>
      </w:r>
    </w:p>
    <w:p>
      <w:pPr>
        <w:spacing w:before="0" w:after="200"/>
      </w:pPr>
      <w:r>
        <w:rPr>
          <w:b w:val="0"/>
          <w:i w:val="0"/>
          <w:sz w:val="24"/>
        </w:rPr>
        <w:t>That familiarity can make the opportunity look smaller than it is, or safer than it really is.</w:t>
      </w:r>
    </w:p>
    <w:p>
      <w:pPr>
        <w:spacing w:before="0" w:after="200"/>
      </w:pPr>
      <w:r>
        <w:rPr>
          <w:b w:val="0"/>
          <w:i w:val="0"/>
          <w:sz w:val="24"/>
        </w:rPr>
        <w:t>The question is not simply, "Am I leaving?" The better question is, "Will this work build something new in me?"</w:t>
      </w:r>
    </w:p>
    <w:p>
      <w:pPr>
        <w:spacing w:before="0" w:after="200"/>
      </w:pPr>
      <w:r>
        <w:rPr>
          <w:b w:val="0"/>
          <w:i w:val="0"/>
          <w:sz w:val="24"/>
        </w:rPr>
        <w:t>Before you make an internal move, I want you to answer three questions: Will the work change? Will your judgment expand? And will the evidence travel?</w:t>
      </w:r>
    </w:p>
    <w:p>
      <w:pPr>
        <w:spacing w:before="0" w:after="200"/>
      </w:pPr>
      <w:r>
        <w:rPr>
          <w:b w:val="0"/>
          <w:i w:val="0"/>
          <w:sz w:val="24"/>
        </w:rPr>
        <w:t>If you cannot get clear answers to those three, a new title may give you movement without giving you much growth.</w:t>
      </w:r>
    </w:p>
    <w:p>
      <w:pPr>
        <w:spacing w:before="320" w:after="100"/>
        <w:keepNext w:val="1"/>
        <w:keepLines w:val="1"/>
      </w:pPr>
      <w:r>
        <w:rPr>
          <w:b/>
          <w:i w:val="0"/>
          <w:color w:val="8A6D1E"/>
          <w:sz w:val="20"/>
        </w:rPr>
        <w:t>WHY AN INTERNAL MOVE CAN BE A REAL CAREER MOVE</w:t>
      </w:r>
    </w:p>
    <w:p>
      <w:pPr>
        <w:spacing w:before="0" w:after="200"/>
      </w:pPr>
      <w:r>
        <w:rPr>
          <w:b w:val="0"/>
          <w:i w:val="0"/>
          <w:sz w:val="24"/>
        </w:rPr>
        <w:t>I am Temidayo Afonja. I help experienced professionals understand what their work has built in them, what travels when the context changes, and what still has to be learned.</w:t>
      </w:r>
    </w:p>
    <w:p>
      <w:pPr>
        <w:spacing w:before="0" w:after="200"/>
      </w:pPr>
      <w:r>
        <w:rPr>
          <w:b w:val="0"/>
          <w:i w:val="0"/>
          <w:sz w:val="24"/>
        </w:rPr>
        <w:t>Internal moves are easy to underestimate because the employer does not change. But your employer is only one part of the context. The work can change even when the company does not.</w:t>
      </w:r>
    </w:p>
    <w:p>
      <w:pPr>
        <w:spacing w:before="0" w:after="200"/>
      </w:pPr>
      <w:r>
        <w:rPr>
          <w:b w:val="0"/>
          <w:i w:val="0"/>
          <w:sz w:val="24"/>
        </w:rPr>
        <w:t>In one chapter of my own career, roughly six months in, the scope of my role expanded. The important part was not that more things appeared on my list. People began trusting me with work beyond the original box.</w:t>
      </w:r>
    </w:p>
    <w:p>
      <w:pPr>
        <w:spacing w:before="0" w:after="200"/>
      </w:pPr>
      <w:r>
        <w:rPr>
          <w:b w:val="0"/>
          <w:i w:val="0"/>
          <w:sz w:val="24"/>
        </w:rPr>
        <w:t>That experience gave me a more useful way to think about internal mobility. A meaningful internal move can be a new role, team, function, assignment, or scope. What matters is whether it changes what you are learning, deciding, and becoming able to prove.</w:t>
      </w:r>
    </w:p>
    <w:p>
      <w:pPr>
        <w:spacing w:before="0" w:after="200"/>
      </w:pPr>
      <w:r>
        <w:rPr>
          <w:b w:val="0"/>
          <w:i w:val="0"/>
          <w:sz w:val="24"/>
        </w:rPr>
        <w:t>There is a real advantage to doing that inside an organization you already know. You may already understand the systems, the language, the history, and some of the relationships. If the opportunity is well designed, that context becomes leverage. You can spend less energy learning how the organization works and more energy learning work you have not done before.</w:t>
      </w:r>
    </w:p>
    <w:p>
      <w:pPr>
        <w:spacing w:before="0" w:after="200"/>
      </w:pPr>
      <w:r>
        <w:rPr>
          <w:b w:val="0"/>
          <w:i w:val="0"/>
          <w:sz w:val="24"/>
        </w:rPr>
        <w:t>But familiarity can also hide a cosmetic move. So test the work, not the label.</w:t>
      </w:r>
    </w:p>
    <w:p>
      <w:pPr>
        <w:spacing w:before="320" w:after="100"/>
        <w:keepNext w:val="1"/>
        <w:keepLines w:val="1"/>
      </w:pPr>
      <w:r>
        <w:rPr>
          <w:b/>
          <w:i w:val="0"/>
          <w:color w:val="8A6D1E"/>
          <w:sz w:val="20"/>
        </w:rPr>
        <w:t>QUESTION 1: WILL THE WORK CHANGE?</w:t>
      </w:r>
    </w:p>
    <w:p>
      <w:pPr>
        <w:spacing w:before="0" w:after="200"/>
      </w:pPr>
      <w:r>
        <w:rPr>
          <w:b w:val="0"/>
          <w:i w:val="0"/>
          <w:sz w:val="24"/>
        </w:rPr>
        <w:t>Start with the most concrete question: What will actually be different on an ordinary Monday?</w:t>
      </w:r>
    </w:p>
    <w:p>
      <w:pPr>
        <w:spacing w:before="0" w:after="200"/>
      </w:pPr>
      <w:r>
        <w:rPr>
          <w:b w:val="0"/>
          <w:i w:val="0"/>
          <w:sz w:val="24"/>
        </w:rPr>
        <w:t>Do not start with the title. Do not start with whether the role sounds more senior. Ask what problems you will be close enough to understand, which systems you will learn, which stakeholders you will have to influence, and which part of the business will become visible from the new seat.</w:t>
      </w:r>
    </w:p>
    <w:p>
      <w:pPr>
        <w:spacing w:before="0" w:after="200"/>
      </w:pPr>
      <w:r>
        <w:rPr>
          <w:b w:val="0"/>
          <w:i w:val="0"/>
          <w:sz w:val="24"/>
        </w:rPr>
        <w:t>A move can be significant even if the title barely changes. If you move from one team to another and suddenly have to understand a different customer, operating model, regulation, or decision process, that can expand your range.</w:t>
      </w:r>
    </w:p>
    <w:p>
      <w:pPr>
        <w:spacing w:before="0" w:after="200"/>
      </w:pPr>
      <w:r>
        <w:rPr>
          <w:b w:val="0"/>
          <w:i w:val="0"/>
          <w:sz w:val="24"/>
        </w:rPr>
        <w:t>The reverse is also true. You can get a new title, a new manager, or a new team and still do almost exactly the same class of work. The nouns change, but the problems, tools, and expectations do not.</w:t>
      </w:r>
    </w:p>
    <w:p>
      <w:pPr>
        <w:spacing w:before="0" w:after="200"/>
      </w:pPr>
      <w:r>
        <w:rPr>
          <w:b w:val="0"/>
          <w:i w:val="0"/>
          <w:sz w:val="24"/>
        </w:rPr>
        <w:t>That move may still be worth taking for pay, flexibility, stability, or manager fit. Those are real reasons. Just do not call it career growth automatically.</w:t>
      </w:r>
    </w:p>
    <w:p>
      <w:pPr>
        <w:spacing w:before="0" w:after="200"/>
      </w:pPr>
      <w:r>
        <w:rPr>
          <w:b w:val="0"/>
          <w:i w:val="0"/>
          <w:sz w:val="24"/>
        </w:rPr>
        <w:t>Ask the internal hiring manager: What are the three most important problems this person will own in the first six months? What will I have to learn that I do not already know? Which parts of the organization will I understand differently because I held this role?</w:t>
      </w:r>
    </w:p>
    <w:p>
      <w:pPr>
        <w:spacing w:before="0" w:after="200"/>
      </w:pPr>
      <w:r>
        <w:rPr>
          <w:b w:val="0"/>
          <w:i w:val="0"/>
          <w:sz w:val="24"/>
        </w:rPr>
        <w:t>Listen for concrete work. Words like strategic, visible, and high impact sound attractive, but they do not tell you what you will actually become able to do.</w:t>
      </w:r>
    </w:p>
    <w:p>
      <w:pPr>
        <w:spacing w:before="0" w:after="200"/>
      </w:pPr>
      <w:r>
        <w:rPr>
          <w:b w:val="0"/>
          <w:i w:val="0"/>
          <w:sz w:val="24"/>
        </w:rPr>
        <w:t>If you cannot name the new problems, systems, stakeholders, or context, the first answer may be no.</w:t>
      </w:r>
    </w:p>
    <w:p>
      <w:pPr>
        <w:spacing w:before="320" w:after="100"/>
        <w:keepNext w:val="1"/>
        <w:keepLines w:val="1"/>
      </w:pPr>
      <w:r>
        <w:rPr>
          <w:b/>
          <w:i w:val="0"/>
          <w:color w:val="8A6D1E"/>
          <w:sz w:val="20"/>
        </w:rPr>
        <w:t>QUESTION 2: WILL YOUR JUDGMENT EXPAND?</w:t>
      </w:r>
    </w:p>
    <w:p>
      <w:pPr>
        <w:spacing w:before="0" w:after="200"/>
      </w:pPr>
      <w:r>
        <w:rPr>
          <w:b w:val="0"/>
          <w:i w:val="0"/>
          <w:sz w:val="24"/>
        </w:rPr>
        <w:t>The second question is not how much responsibility you will have. It is what you will be trusted to notice, weigh, recommend, or own.</w:t>
      </w:r>
    </w:p>
    <w:p>
      <w:pPr>
        <w:spacing w:before="0" w:after="200"/>
      </w:pPr>
      <w:r>
        <w:rPr>
          <w:b w:val="0"/>
          <w:i w:val="0"/>
          <w:sz w:val="24"/>
        </w:rPr>
        <w:t>This distinction matters because dependable people often get more responsibility before they get more judgment.</w:t>
      </w:r>
    </w:p>
    <w:p>
      <w:pPr>
        <w:spacing w:before="0" w:after="200"/>
      </w:pPr>
      <w:r>
        <w:rPr>
          <w:b w:val="0"/>
          <w:i w:val="0"/>
          <w:sz w:val="24"/>
        </w:rPr>
        <w:t>More tasks can mean volume, coordination, and absorption. More judgment means you have to interpret incomplete information, weigh tradeoffs, recommend a direction, influence people with different incentives, or own the consequence when the instructions stop being clear.</w:t>
      </w:r>
    </w:p>
    <w:p>
      <w:pPr>
        <w:spacing w:before="0" w:after="200"/>
      </w:pPr>
      <w:r>
        <w:rPr>
          <w:b w:val="0"/>
          <w:i w:val="0"/>
          <w:sz w:val="24"/>
        </w:rPr>
        <w:t>Preparing a report is work. Deciding which pattern in the report needs attention, explaining the consequence, and recommending what happens next is a different kind of work.</w:t>
      </w:r>
    </w:p>
    <w:p>
      <w:pPr>
        <w:spacing w:before="0" w:after="200"/>
      </w:pPr>
      <w:r>
        <w:rPr>
          <w:b w:val="0"/>
          <w:i w:val="0"/>
          <w:sz w:val="24"/>
        </w:rPr>
        <w:t>Scheduling a cross-functional meeting is work. Creating enough shared understanding for three functions with different incentives to make a decision requires different judgment.</w:t>
      </w:r>
    </w:p>
    <w:p>
      <w:pPr>
        <w:spacing w:before="0" w:after="200"/>
      </w:pPr>
      <w:r>
        <w:rPr>
          <w:b w:val="0"/>
          <w:i w:val="0"/>
          <w:sz w:val="24"/>
        </w:rPr>
        <w:t>Neither operational task is unimportant. The question is what the work is training you to do when the next situation is not identical to the last one.</w:t>
      </w:r>
    </w:p>
    <w:p>
      <w:pPr>
        <w:spacing w:before="0" w:after="200"/>
      </w:pPr>
      <w:r>
        <w:rPr>
          <w:b w:val="0"/>
          <w:i w:val="0"/>
          <w:sz w:val="24"/>
        </w:rPr>
        <w:t>So ask: Which decisions belong to this role? Where will I be expected to make a recommendation rather than only provide information? What outcome will still be mine when the instructions are incomplete?</w:t>
      </w:r>
    </w:p>
    <w:p>
      <w:pPr>
        <w:spacing w:before="0" w:after="200"/>
      </w:pPr>
      <w:r>
        <w:rPr>
          <w:b w:val="0"/>
          <w:i w:val="0"/>
          <w:sz w:val="24"/>
        </w:rPr>
        <w:t>Also ask about authority. If you will be accountable for an outcome but unable to influence the decisions, priorities, resources, or people that produce it, the role may be giving you exposure without enough ownership.</w:t>
      </w:r>
    </w:p>
    <w:p>
      <w:pPr>
        <w:spacing w:before="0" w:after="200"/>
      </w:pPr>
      <w:r>
        <w:rPr>
          <w:b w:val="0"/>
          <w:i w:val="0"/>
          <w:sz w:val="24"/>
        </w:rPr>
        <w:t>If the answer is simply, "You will have more to manage," keep investigating.</w:t>
      </w:r>
    </w:p>
    <w:p>
      <w:pPr>
        <w:spacing w:before="320" w:after="100"/>
        <w:keepNext w:val="1"/>
        <w:keepLines w:val="1"/>
      </w:pPr>
      <w:r>
        <w:rPr>
          <w:b/>
          <w:i w:val="0"/>
          <w:color w:val="8A6D1E"/>
          <w:sz w:val="20"/>
        </w:rPr>
        <w:t>QUESTION 3: WILL THE EVIDENCE TRAVEL?</w:t>
      </w:r>
    </w:p>
    <w:p>
      <w:pPr>
        <w:spacing w:before="0" w:after="200"/>
      </w:pPr>
      <w:r>
        <w:rPr>
          <w:b w:val="0"/>
          <w:i w:val="0"/>
          <w:sz w:val="24"/>
        </w:rPr>
        <w:t>The third question is whether the move will produce evidence you can explain outside the organization.</w:t>
      </w:r>
    </w:p>
    <w:p>
      <w:pPr>
        <w:spacing w:before="0" w:after="200"/>
      </w:pPr>
      <w:r>
        <w:rPr>
          <w:b w:val="0"/>
          <w:i w:val="0"/>
          <w:sz w:val="24"/>
        </w:rPr>
        <w:t>Internal credibility can become very powerful inside one company and almost invisible outside it. Everybody may know you are the person who can get something done, but another employer does not inherit that reputation with you.</w:t>
      </w:r>
    </w:p>
    <w:p>
      <w:pPr>
        <w:spacing w:before="0" w:after="200"/>
      </w:pPr>
      <w:r>
        <w:rPr>
          <w:b w:val="0"/>
          <w:i w:val="0"/>
          <w:sz w:val="24"/>
        </w:rPr>
        <w:t>Portable evidence does not mean taking confidential material. It means being able to explain the problem, your role, the judgment you used, and the permitted result in language that makes sense without the internal acronyms, relationships, or history.</w:t>
      </w:r>
    </w:p>
    <w:p>
      <w:pPr>
        <w:spacing w:before="0" w:after="200"/>
      </w:pPr>
      <w:r>
        <w:rPr>
          <w:b w:val="0"/>
          <w:i w:val="0"/>
          <w:sz w:val="24"/>
        </w:rPr>
        <w:t>I would look for three kinds of evidence: result, judgment, and range.</w:t>
      </w:r>
    </w:p>
    <w:p>
      <w:pPr>
        <w:spacing w:before="0" w:after="200"/>
      </w:pPr>
      <w:r>
        <w:rPr>
          <w:b w:val="0"/>
          <w:i w:val="0"/>
          <w:sz w:val="24"/>
        </w:rPr>
        <w:t>Result: what changed, improved, stabilized, accelerated, or became possible? Judgment: what did you notice, weigh, recommend, or decide? Range: what new context, stakeholder group, system, or problem can you now handle?</w:t>
      </w:r>
    </w:p>
    <w:p>
      <w:pPr>
        <w:spacing w:before="0" w:after="200"/>
      </w:pPr>
      <w:r>
        <w:rPr>
          <w:b w:val="0"/>
          <w:i w:val="0"/>
          <w:sz w:val="24"/>
        </w:rPr>
        <w:t>The strongest internal moves give you something you can eventually say like this: "I entered a new context. I was trusted to make this kind of judgment. Here is what changed."</w:t>
      </w:r>
    </w:p>
    <w:p>
      <w:pPr>
        <w:spacing w:before="0" w:after="200"/>
      </w:pPr>
      <w:r>
        <w:rPr>
          <w:b w:val="0"/>
          <w:i w:val="0"/>
          <w:sz w:val="24"/>
        </w:rPr>
        <w:t>Before you accept the opportunity, ask: How is success measured? What would a strong first year allow me to point to? Which outcomes would I own rather than merely support?</w:t>
      </w:r>
    </w:p>
    <w:p>
      <w:pPr>
        <w:spacing w:before="0" w:after="200"/>
      </w:pPr>
      <w:r>
        <w:rPr>
          <w:b w:val="0"/>
          <w:i w:val="0"/>
          <w:sz w:val="24"/>
        </w:rPr>
        <w:t>If the opportunity can only be explained through company language, translate it before you decide. If you cannot explain what the work could prove, you may not yet understand what the move is really offering.</w:t>
      </w:r>
    </w:p>
    <w:p>
      <w:pPr>
        <w:spacing w:before="320" w:after="100"/>
        <w:keepNext w:val="1"/>
        <w:keepLines w:val="1"/>
      </w:pPr>
      <w:r>
        <w:rPr>
          <w:b/>
          <w:i w:val="0"/>
          <w:color w:val="8A6D1E"/>
          <w:sz w:val="20"/>
        </w:rPr>
        <w:t>READ THE THREE ANSWERS</w:t>
      </w:r>
    </w:p>
    <w:p>
      <w:pPr>
        <w:spacing w:before="0" w:after="200"/>
      </w:pPr>
      <w:r>
        <w:rPr>
          <w:b w:val="0"/>
          <w:i w:val="0"/>
          <w:sz w:val="24"/>
        </w:rPr>
        <w:t>Now put the three answers together.</w:t>
      </w:r>
    </w:p>
    <w:p>
      <w:pPr>
        <w:spacing w:before="0" w:after="200"/>
      </w:pPr>
      <w:r>
        <w:rPr>
          <w:b w:val="0"/>
          <w:i w:val="0"/>
          <w:sz w:val="24"/>
        </w:rPr>
        <w:t>If all three are yes, different work, expanded judgment, and evidence that travels, you have a strong growth case. That does not mean the move is automatically right, but the developmental value is visible.</w:t>
      </w:r>
    </w:p>
    <w:p>
      <w:pPr>
        <w:spacing w:before="0" w:after="200"/>
      </w:pPr>
      <w:r>
        <w:rPr>
          <w:b w:val="0"/>
          <w:i w:val="0"/>
          <w:sz w:val="24"/>
        </w:rPr>
        <w:t>If two are yes, identify the missing dimension and investigate whether it can be designed into the role. Maybe the work is new and the evidence could be strong, but the decision authority is vague. That is not an automatic no. It is a negotiation question.</w:t>
      </w:r>
    </w:p>
    <w:p>
      <w:pPr>
        <w:spacing w:before="0" w:after="200"/>
      </w:pPr>
      <w:r>
        <w:rPr>
          <w:b w:val="0"/>
          <w:i w:val="0"/>
          <w:sz w:val="24"/>
        </w:rPr>
        <w:t>If zero or one is yes, the opportunity may be movement without much growth. It may still be the right choice for compensation, flexibility, stability, a better manager, or another reason that matters in your real life. Just be accurate about what the work is giving you.</w:t>
      </w:r>
    </w:p>
    <w:p>
      <w:pPr>
        <w:spacing w:before="0" w:after="200"/>
      </w:pPr>
      <w:r>
        <w:rPr>
          <w:b w:val="0"/>
          <w:i w:val="0"/>
          <w:sz w:val="24"/>
        </w:rPr>
        <w:t>And do not assume the external option wins because it is outside. A new employer can give you a new logo and the same work. Compare the actual access to different work, stronger judgment, and clearer evidence.</w:t>
      </w:r>
    </w:p>
    <w:p>
      <w:pPr>
        <w:spacing w:before="320" w:after="100"/>
        <w:keepNext w:val="1"/>
        <w:keepLines w:val="1"/>
      </w:pPr>
      <w:r>
        <w:rPr>
          <w:b/>
          <w:i w:val="0"/>
          <w:color w:val="8A6D1E"/>
          <w:sz w:val="20"/>
        </w:rPr>
        <w:t>WHAT THIS TEST CANNOT SOLVE</w:t>
      </w:r>
    </w:p>
    <w:p>
      <w:pPr>
        <w:spacing w:before="0" w:after="200"/>
      </w:pPr>
      <w:r>
        <w:rPr>
          <w:b w:val="0"/>
          <w:i w:val="0"/>
          <w:sz w:val="24"/>
        </w:rPr>
        <w:t>There are times when an internal move will not solve the real problem.</w:t>
      </w:r>
    </w:p>
    <w:p>
      <w:pPr>
        <w:spacing w:before="0" w:after="200"/>
      </w:pPr>
      <w:r>
        <w:rPr>
          <w:b w:val="0"/>
          <w:i w:val="0"/>
          <w:sz w:val="24"/>
        </w:rPr>
        <w:t>Your company may not contain the work you need. Your current manager may control access to internal opportunities. An old reputation may follow you into the next team. Compensation or title bands may not move enough. The organization may simply keep seeing you through the role you already perform.</w:t>
      </w:r>
    </w:p>
    <w:p>
      <w:pPr>
        <w:spacing w:before="0" w:after="200"/>
      </w:pPr>
      <w:r>
        <w:rPr>
          <w:b w:val="0"/>
          <w:i w:val="0"/>
          <w:sz w:val="24"/>
        </w:rPr>
        <w:t>Bias and age discrimination can also shape who gets access to opportunities. A three-question framework does not make those realities disappear.</w:t>
      </w:r>
    </w:p>
    <w:p>
      <w:pPr>
        <w:spacing w:before="0" w:after="200"/>
      </w:pPr>
      <w:r>
        <w:rPr>
          <w:b w:val="0"/>
          <w:i w:val="0"/>
          <w:sz w:val="24"/>
        </w:rPr>
        <w:t>And if the environment is harming your health or safety, or you are dealing with harassment, discrimination, or another urgent threat, you do not need to perfect an internal-mobility strategy before protecting yourself and getting appropriate support.</w:t>
      </w:r>
    </w:p>
    <w:p>
      <w:pPr>
        <w:spacing w:before="0" w:after="200"/>
      </w:pPr>
      <w:r>
        <w:rPr>
          <w:b w:val="0"/>
          <w:i w:val="0"/>
          <w:sz w:val="24"/>
        </w:rPr>
        <w:t>Career decisions also sit inside real lives. Compensation, caregiving, benefits, immigration status, energy, stability, and timing can legitimately outweigh the developmental case.</w:t>
      </w:r>
    </w:p>
    <w:p>
      <w:pPr>
        <w:spacing w:before="0" w:after="200"/>
      </w:pPr>
      <w:r>
        <w:rPr>
          <w:b w:val="0"/>
          <w:i w:val="0"/>
          <w:sz w:val="24"/>
        </w:rPr>
        <w:t>These three questions read the work. They do not replace the rest of the decision.</w:t>
      </w:r>
    </w:p>
    <w:p>
      <w:pPr>
        <w:spacing w:before="320" w:after="100"/>
        <w:keepNext w:val="1"/>
        <w:keepLines w:val="1"/>
      </w:pPr>
      <w:r>
        <w:rPr>
          <w:b/>
          <w:i w:val="0"/>
          <w:color w:val="8A6D1E"/>
          <w:sz w:val="20"/>
        </w:rPr>
        <w:t>ONE NEXT STEP + CTA</w:t>
      </w:r>
    </w:p>
    <w:p>
      <w:pPr>
        <w:spacing w:before="0" w:after="200"/>
      </w:pPr>
      <w:r>
        <w:rPr>
          <w:b w:val="0"/>
          <w:i w:val="0"/>
          <w:sz w:val="24"/>
        </w:rPr>
        <w:t>Before your next internal conversation, write one sentence under each question.</w:t>
      </w:r>
    </w:p>
    <w:p>
      <w:pPr>
        <w:spacing w:before="0" w:after="200"/>
      </w:pPr>
      <w:r>
        <w:rPr>
          <w:b w:val="0"/>
          <w:i w:val="0"/>
          <w:sz w:val="24"/>
        </w:rPr>
        <w:t>What different work will I enter? What judgment will I be trusted to carry? What evidence could I explain a year from now?</w:t>
      </w:r>
    </w:p>
    <w:p>
      <w:pPr>
        <w:spacing w:before="0" w:after="200"/>
      </w:pPr>
      <w:r>
        <w:rPr>
          <w:b w:val="0"/>
          <w:i w:val="0"/>
          <w:sz w:val="24"/>
        </w:rPr>
        <w:t>If you are actively deciding whether to stay, move internally, or leave, the free Career Decision Evidence Check gives you a structured way to read the evidence behind that choice. It is linked below.</w:t>
      </w:r>
    </w:p>
    <w:p>
      <w:pPr>
        <w:spacing w:before="320" w:after="100"/>
        <w:keepNext w:val="1"/>
        <w:keepLines w:val="1"/>
      </w:pPr>
      <w:r>
        <w:rPr>
          <w:b/>
          <w:i w:val="0"/>
          <w:color w:val="8A6D1E"/>
          <w:sz w:val="20"/>
        </w:rPr>
        <w:t>WATCH NEXT</w:t>
      </w:r>
    </w:p>
    <w:p>
      <w:pPr>
        <w:spacing w:before="0" w:after="200"/>
      </w:pPr>
      <w:r>
        <w:rPr>
          <w:b w:val="0"/>
          <w:i w:val="0"/>
          <w:sz w:val="24"/>
        </w:rPr>
        <w:t>And before you call any opportunity growth, there is one more distinction you need to make.</w:t>
      </w:r>
    </w:p>
    <w:p>
      <w:pPr>
        <w:spacing w:before="0" w:after="200"/>
      </w:pPr>
      <w:r>
        <w:rPr>
          <w:b w:val="0"/>
          <w:i w:val="0"/>
          <w:sz w:val="24"/>
        </w:rPr>
        <w:t>More responsibility can mean you are growing. It can also mean the organization has learned that you will absorb more.</w:t>
      </w:r>
    </w:p>
    <w:p>
      <w:pPr>
        <w:spacing w:before="0" w:after="200"/>
      </w:pPr>
      <w:r>
        <w:rPr>
          <w:b w:val="0"/>
          <w:i w:val="0"/>
          <w:sz w:val="24"/>
        </w:rPr>
        <w:t>That is what we are testing next in Are You Growing, or Just Being Given More Work?</w:t>
      </w:r>
    </w:p>
    <w:p>
      <w:pPr>
        <w:spacing w:before="0" w:after="200"/>
      </w:pPr>
      <w:r>
        <w:rPr>
          <w:b w:val="0"/>
          <w:i w:val="0"/>
          <w:sz w:val="24"/>
        </w:rPr>
        <w:t>You may not need to leave. But the work does need to change.</w:t>
      </w:r>
    </w:p>
    <w:p>
      <w:pPr>
        <w:spacing w:before="0" w:after="240"/>
        <w:pBdr>
          <w:bottom w:val="single" w:sz="6" w:color="8A6D1E"/>
        </w:pBdr>
      </w:pPr>
    </w:p>
    <w:p>
      <w:pPr>
        <w:spacing w:before="320" w:after="120"/>
        <w:keepNext w:val="1"/>
        <w:keepLines w:val="1"/>
      </w:pPr>
      <w:r>
        <w:rPr>
          <w:b/>
          <w:i w:val="0"/>
          <w:color w:val="112345"/>
          <w:sz w:val="26"/>
        </w:rPr>
        <w:t>RECORDING CLOSE CHECKLIST</w:t>
      </w:r>
    </w:p>
    <w:p>
      <w:pPr>
        <w:spacing w:before="0" w:after="100"/>
      </w:pPr>
      <w:r>
        <w:rPr>
          <w:b w:val="0"/>
          <w:i w:val="0"/>
          <w:sz w:val="21"/>
        </w:rPr>
        <w:t>•  Record the complete CTA and Watch Next handoff before stopping.</w:t>
      </w:r>
    </w:p>
    <w:p>
      <w:pPr>
        <w:spacing w:before="0" w:after="100"/>
      </w:pPr>
      <w:r>
        <w:rPr>
          <w:b w:val="0"/>
          <w:i w:val="0"/>
          <w:sz w:val="21"/>
        </w:rPr>
        <w:t>•  Do not return to camera after the final Watch Next visual in the edited video.</w:t>
      </w:r>
    </w:p>
    <w:p>
      <w:pPr>
        <w:spacing w:before="0" w:after="100"/>
      </w:pPr>
      <w:r>
        <w:rPr>
          <w:b w:val="0"/>
          <w:i w:val="0"/>
          <w:sz w:val="21"/>
        </w:rPr>
        <w:t>•  Build final YouTube chapters from the actual export, not these script sections.</w:t>
      </w:r>
    </w:p>
    <w:p>
      <w:pPr>
        <w:spacing w:before="0" w:after="100"/>
      </w:pPr>
      <w:r>
        <w:rPr>
          <w:b w:val="0"/>
          <w:i w:val="0"/>
          <w:sz w:val="21"/>
        </w:rPr>
        <w:t>•  Keep captions suppressed or simplified during full-screen framework graphics and Watch Next.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