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100" w:line="247" w:lineRule="auto"/>
      </w:pPr>
      <w:r>
        <w:rPr>
          <w:rFonts w:ascii="Calibri" w:hAnsi="Calibri" w:eastAsia="Calibri" w:cs="Calibri"/>
          <w:b/>
          <w:i w:val="0"/>
          <w:color w:val="112345"/>
          <w:sz w:val="18"/>
        </w:rPr>
        <w:t>CAPABILITY FORMATION  /  YOUTUBE</w:t>
      </w:r>
    </w:p>
    <w:p>
      <w:pPr>
        <w:keepNext w:val="0"/>
        <w:widowControl/>
        <w:spacing w:before="0" w:after="80" w:line="247" w:lineRule="auto"/>
      </w:pPr>
      <w:r>
        <w:rPr>
          <w:rFonts w:ascii="Calibri" w:hAnsi="Calibri" w:eastAsia="Calibri" w:cs="Calibri"/>
          <w:b w:val="0"/>
          <w:i w:val="0"/>
          <w:color w:val="566375"/>
          <w:sz w:val="17"/>
        </w:rPr>
        <w:t>NEW PUBLIC V7  |  FORMER ROADMAP V24  |  September 16, 2026</w:t>
      </w:r>
    </w:p>
    <w:p>
      <w:pPr>
        <w:keepNext/>
        <w:widowControl/>
        <w:spacing w:before="0" w:after="100" w:line="247" w:lineRule="auto"/>
      </w:pPr>
      <w:r>
        <w:rPr>
          <w:rFonts w:ascii="Calibri" w:hAnsi="Calibri" w:eastAsia="Calibri" w:cs="Calibri"/>
          <w:b/>
          <w:i w:val="0"/>
          <w:color w:val="112345"/>
          <w:sz w:val="36"/>
        </w:rPr>
        <w:t>I’ve Seen Who Gets the Bigger Role and Why</w:t>
      </w:r>
    </w:p>
    <w:p>
      <w:pPr>
        <w:keepNext/>
        <w:widowControl/>
        <w:spacing w:before="0" w:after="140" w:line="247" w:lineRule="auto"/>
      </w:pPr>
      <w:r>
        <w:rPr>
          <w:rFonts w:ascii="Calibri" w:hAnsi="Calibri" w:eastAsia="Calibri" w:cs="Calibri"/>
          <w:b w:val="0"/>
          <w:i w:val="0"/>
          <w:color w:val="566375"/>
          <w:sz w:val="17"/>
        </w:rPr>
        <w:t>THUMBNAIL: THEY CHOSE SOMEONE ELSE</w:t>
      </w:r>
    </w:p>
    <w:p>
      <w:pPr>
        <w:keepNext/>
        <w:widowControl/>
        <w:spacing w:before="0" w:after="180" w:line="247" w:lineRule="auto"/>
        <w:pBdr>
          <w:bottom w:val="single" w:sz="6" w:space="5" w:color="C9A84C"/>
        </w:pBdr>
      </w:pPr>
      <w:r>
        <w:rPr>
          <w:rFonts w:ascii="Calibri" w:hAnsi="Calibri" w:eastAsia="Calibri" w:cs="Calibri"/>
          <w:b/>
          <w:i w:val="0"/>
          <w:color w:val="112345"/>
          <w:sz w:val="18"/>
        </w:rPr>
        <w:t>COPY-READY YOUTUBE DESCRIPTION</w:t>
      </w:r>
    </w:p>
    <w:p>
      <w:pPr>
        <w:keepNext w:val="0"/>
        <w:widowControl/>
        <w:spacing w:before="0" w:after="100" w:line="247" w:lineRule="auto"/>
      </w:pPr>
      <w:r>
        <w:rPr>
          <w:rFonts w:ascii="Calibri" w:hAnsi="Calibri" w:eastAsia="Calibri" w:cs="Calibri"/>
          <w:b w:val="0"/>
          <w:i w:val="0"/>
          <w:color w:val="243044"/>
          <w:sz w:val="22"/>
        </w:rPr>
        <w:t>I have sat in rooms where two people were both capable, both respected, and both doing good work. Then a bigger role opened, and the difference was not always who worked harder.</w:t>
      </w:r>
    </w:p>
    <w:p>
      <w:pPr>
        <w:keepNext w:val="0"/>
        <w:widowControl/>
        <w:spacing w:before="0" w:after="100" w:line="247" w:lineRule="auto"/>
      </w:pPr>
      <w:r>
        <w:rPr>
          <w:rFonts w:ascii="Calibri" w:hAnsi="Calibri" w:eastAsia="Calibri" w:cs="Calibri"/>
          <w:b w:val="0"/>
          <w:i w:val="0"/>
          <w:color w:val="243044"/>
          <w:sz w:val="22"/>
        </w:rPr>
        <w:t>Four things tend to matter: visible proof, judgment, trust, and sponsorship or access.</w:t>
      </w:r>
    </w:p>
    <w:p>
      <w:pPr>
        <w:keepNext w:val="0"/>
        <w:widowControl/>
        <w:spacing w:before="0" w:after="100" w:line="247" w:lineRule="auto"/>
      </w:pPr>
      <w:r>
        <w:rPr>
          <w:rFonts w:ascii="Calibri" w:hAnsi="Calibri" w:eastAsia="Calibri" w:cs="Calibri"/>
          <w:b w:val="0"/>
          <w:i w:val="0"/>
          <w:color w:val="243044"/>
          <w:sz w:val="22"/>
        </w:rPr>
        <w:t>That is not a formula, and this is not a video about working harder. Organizations are not clean systems. Politics, bias, timing, budget and manager behavior all shape who gets the shot. The point of reading the situation is to separate what you can build, what you can ask for, and what the organization may not be willing to give.</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Free evidence starter</w:t>
      </w:r>
    </w:p>
    <w:p>
      <w:pPr>
        <w:keepNext/>
        <w:widowControl/>
        <w:spacing w:before="0" w:after="40" w:line="247" w:lineRule="auto"/>
      </w:pPr>
      <w:r>
        <w:rPr>
          <w:rFonts w:ascii="Calibri" w:hAnsi="Calibri" w:eastAsia="Calibri" w:cs="Calibri"/>
          <w:b/>
          <w:i w:val="0"/>
          <w:color w:val="243044"/>
          <w:sz w:val="22"/>
        </w:rPr>
        <w:t>Career Evidence Starter</w:t>
      </w:r>
    </w:p>
    <w:p>
      <w:pPr>
        <w:keepNext w:val="0"/>
        <w:widowControl/>
        <w:spacing w:before="0" w:after="100" w:line="247" w:lineRule="auto"/>
      </w:pPr>
      <w:r>
        <w:rPr>
          <w:rFonts w:ascii="Calibri" w:hAnsi="Calibri" w:eastAsia="Calibri" w:cs="Calibri"/>
          <w:b w:val="0"/>
          <w:i w:val="0"/>
          <w:color w:val="243044"/>
          <w:sz w:val="22"/>
        </w:rPr>
        <w:t>Turn one accomplishment into proof you can use in a performance review, interview, internal move, or career pivot.</w:t>
      </w:r>
    </w:p>
    <w:p>
      <w:pPr>
        <w:keepNext w:val="0"/>
        <w:widowControl/>
        <w:spacing w:before="0" w:after="60" w:line="247" w:lineRule="auto"/>
      </w:pPr>
      <w:r>
        <w:rPr>
          <w:rFonts w:ascii="Calibri" w:hAnsi="Calibri" w:eastAsia="Calibri" w:cs="Calibri"/>
          <w:b w:val="0"/>
          <w:i w:val="0"/>
          <w:color w:val="243044"/>
          <w:sz w:val="21"/>
        </w:rPr>
      </w:r>
      <w:hyperlink r:id="rId9">
        <w:r>
          <w:rPr>
            <w:rFonts w:ascii="Calibri" w:hAnsi="Calibri"/>
            <w:sz w:val="21"/>
            <w:color w:val="112345"/>
            <w:u w:val="single"/>
          </w:rPr>
          <w:t>https://temidayoafonja.com/career-evidence-starter</w:t>
        </w:r>
      </w:hyperlink>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Watch next</w:t>
      </w:r>
    </w:p>
    <w:p>
      <w:pPr>
        <w:keepNext/>
        <w:widowControl/>
        <w:spacing w:before="0" w:after="40" w:line="247" w:lineRule="auto"/>
      </w:pPr>
      <w:r>
        <w:rPr>
          <w:rFonts w:ascii="Calibri" w:hAnsi="Calibri" w:eastAsia="Calibri" w:cs="Calibri"/>
          <w:b w:val="0"/>
          <w:i w:val="0"/>
          <w:color w:val="243044"/>
          <w:sz w:val="21"/>
        </w:rPr>
        <w:t>What to Do When Your Work Is Valued but You Are Overlooked</w:t>
      </w:r>
    </w:p>
    <w:p>
      <w:pPr>
        <w:keepNext w:val="0"/>
        <w:widowControl/>
        <w:spacing w:before="0" w:after="80" w:line="247" w:lineRule="auto"/>
      </w:pPr>
      <w:r>
        <w:rPr>
          <w:rFonts w:ascii="Calibri" w:hAnsi="Calibri" w:eastAsia="Calibri" w:cs="Calibri"/>
          <w:b w:val="0"/>
          <w:i w:val="0"/>
          <w:color w:val="566375"/>
          <w:sz w:val="18"/>
        </w:rPr>
        <w:t>[PASTE VIDEO URL AFTER UPLOAD]</w:t>
      </w:r>
    </w:p>
    <w:p>
      <w:pPr>
        <w:keepNext/>
        <w:spacing w:before="14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Playlist</w:t>
      </w:r>
    </w:p>
    <w:p>
      <w:pPr>
        <w:keepNext/>
        <w:widowControl/>
        <w:spacing w:before="0" w:after="40" w:line="247" w:lineRule="auto"/>
      </w:pPr>
      <w:r>
        <w:rPr>
          <w:rFonts w:ascii="Calibri" w:hAnsi="Calibri" w:eastAsia="Calibri" w:cs="Calibri"/>
          <w:b w:val="0"/>
          <w:i w:val="0"/>
          <w:color w:val="243044"/>
          <w:sz w:val="21"/>
        </w:rPr>
        <w:t>Capability Formation: career pivots and internal moves</w:t>
      </w:r>
    </w:p>
    <w:p>
      <w:pPr>
        <w:keepNext w:val="0"/>
        <w:widowControl/>
        <w:spacing w:before="0" w:after="80" w:line="247" w:lineRule="auto"/>
      </w:pPr>
      <w:r>
        <w:rPr>
          <w:rFonts w:ascii="Calibri" w:hAnsi="Calibri" w:eastAsia="Calibri" w:cs="Calibri"/>
          <w:b w:val="0"/>
          <w:i w:val="0"/>
          <w:color w:val="566375"/>
          <w:sz w:val="18"/>
        </w:rPr>
        <w:t>[PASTE PLAYLIST URL AFTER UPLOAD]</w:t>
      </w:r>
    </w:p>
    <w:p>
      <w:pPr>
        <w:keepNext/>
        <w:spacing w:before="160" w:after="40" w:line="240" w:lineRule="auto"/>
      </w:pPr>
      <w:r>
        <w:rPr>
          <w:rFonts w:ascii="Noto Color Emoji" w:hAnsi="Noto Color Emoji" w:eastAsia="Noto Color Emoji" w:cs="Noto Color Emoji"/>
          <w:b w:val="0"/>
          <w:i w:val="0"/>
          <w:color w:val="112345"/>
          <w:sz w:val="22"/>
        </w:rPr>
        <w:t xml:space="preserve">🙏 </w:t>
      </w:r>
      <w:r>
        <w:rPr>
          <w:rFonts w:ascii="Calibri" w:hAnsi="Calibri" w:eastAsia="Calibri" w:cs="Calibri"/>
          <w:b/>
          <w:i w:val="0"/>
          <w:color w:val="112345"/>
          <w:sz w:val="22"/>
        </w:rPr>
        <w:t>A faith anchor</w:t>
      </w:r>
    </w:p>
    <w:p>
      <w:pPr>
        <w:keepNext/>
        <w:widowControl/>
        <w:spacing w:before="0" w:after="40" w:line="247" w:lineRule="auto"/>
      </w:pPr>
      <w:r>
        <w:rPr>
          <w:rFonts w:ascii="Calibri" w:hAnsi="Calibri" w:eastAsia="Calibri" w:cs="Calibri"/>
          <w:b w:val="0"/>
          <w:i/>
          <w:color w:val="112345"/>
          <w:sz w:val="22"/>
        </w:rPr>
        <w:t>“For God has not given us a spirit of fear and timidity, but of power, love, and self-discipline.”</w:t>
      </w:r>
    </w:p>
    <w:p>
      <w:pPr>
        <w:keepNext/>
        <w:widowControl/>
        <w:spacing w:before="0" w:after="80" w:line="247" w:lineRule="auto"/>
      </w:pPr>
      <w:r>
        <w:rPr>
          <w:rFonts w:ascii="Calibri" w:hAnsi="Calibri" w:eastAsia="Calibri" w:cs="Calibri"/>
          <w:b w:val="0"/>
          <w:i w:val="0"/>
          <w:color w:val="112345"/>
          <w:sz w:val="19"/>
        </w:rPr>
      </w:r>
      <w:hyperlink r:id="rId10">
        <w:r>
          <w:rPr>
            <w:rFonts w:ascii="Calibri" w:hAnsi="Calibri"/>
            <w:sz w:val="19"/>
            <w:color w:val="112345"/>
            <w:u w:val="single"/>
          </w:rPr>
          <w:t>2 Timothy 1:7 (NLT)</w:t>
        </w:r>
      </w:hyperlink>
    </w:p>
    <w:p>
      <w:pPr>
        <w:keepNext w:val="0"/>
        <w:widowControl/>
        <w:spacing w:before="0" w:after="100" w:line="247" w:lineRule="auto"/>
      </w:pPr>
      <w:r>
        <w:rPr>
          <w:rFonts w:ascii="Calibri" w:hAnsi="Calibri" w:eastAsia="Calibri" w:cs="Calibri"/>
          <w:b w:val="0"/>
          <w:i w:val="0"/>
          <w:color w:val="243044"/>
          <w:sz w:val="22"/>
        </w:rPr>
        <w:t>My prayer is that disappointment does not silence you. Ask for clarity. Speak honestly about what you have done. Be willing to learn what comes next. You can take those steps without making someone else’s decision the measure of your worth.</w:t>
      </w:r>
    </w:p>
    <w:p>
      <w:pPr>
        <w:keepNext w:val="0"/>
        <w:widowControl/>
        <w:spacing w:before="40" w:after="0" w:line="247" w:lineRule="auto"/>
      </w:pPr>
      <w:r>
        <w:rPr>
          <w:rFonts w:ascii="Calibri" w:hAnsi="Calibri" w:eastAsia="Calibri" w:cs="Calibri"/>
          <w:b w:val="0"/>
          <w:i w:val="0"/>
          <w:color w:val="566375"/>
          <w:sz w:val="15"/>
        </w:rPr>
        <w:t>Scripture quotations are taken from the Holy Bible, New Living Translation, copyright ©1996, 2004, 2015 by Tyndale House Foundation. Used by permission of Tyndale House Publishers, Carol Stream, Illinois 60188. All rights reserved.</w:t>
      </w:r>
    </w:p>
    <w:sectPr w:rsidR="00FC693F" w:rsidRPr="0006063C" w:rsidSect="00034616">
      <w:footerReference w:type="default" r:id="rId11"/>
      <w:pgSz w:w="12240" w:h="15840"/>
      <w:pgMar w:top="835" w:right="1008" w:bottom="950" w:left="1008" w:header="288"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Calibri" w:hAnsi="Calibri" w:eastAsia="Calibri" w:cs="Calibri"/>
        <w:b/>
        <w:i w:val="0"/>
        <w:color w:val="112345"/>
        <w:sz w:val="15"/>
      </w:rPr>
      <w:t xml:space="preserve">PUBLISHING NOTE  </w:t>
    </w:r>
    <w:r>
      <w:rPr>
        <w:rFonts w:ascii="Calibri" w:hAnsi="Calibri" w:eastAsia="Calibri" w:cs="Calibri"/>
        <w:b w:val="0"/>
        <w:i w:val="0"/>
        <w:color w:val="566375"/>
        <w:sz w:val="15"/>
      </w:rPr>
      <w:t>Replace the two bracketed link placeholders and confirm both destinations before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midayoafonja.com/career-evidence-starter" TargetMode="External"/><Relationship Id="rId10" Type="http://schemas.openxmlformats.org/officeDocument/2006/relationships/hyperlink" Target="https://www.biblegateway.com/passage/?search=2+Timothy+1%3A7&amp;version=NLT"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I’ve Seen Who Gets the Bigger Role and Why | Full YouTube Description</dc:title>
  <dc:subject>NEW PUBLIC V7: description with scripture and faith reflection</dc:subject>
  <dc:creator>Temidayo Afonja</dc:creator>
  <cp:keywords>Capability Formation, YouTube, description, faith anchor</cp:keywords>
  <dc:description>generated by python-docx</dc:description>
  <cp:lastModifiedBy/>
  <cp:revision>1</cp:revision>
  <dcterms:created xsi:type="dcterms:W3CDTF">2013-12-23T23:15:00Z</dcterms:created>
  <dcterms:modified xsi:type="dcterms:W3CDTF">2013-12-23T23:15:00Z</dcterms:modified>
  <cp:category/>
</cp:coreProperties>
</file>