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100" w:line="247" w:lineRule="auto"/>
      </w:pPr>
      <w:r>
        <w:rPr>
          <w:rFonts w:ascii="Calibri" w:hAnsi="Calibri" w:eastAsia="Calibri" w:cs="Calibri"/>
          <w:b/>
          <w:i w:val="0"/>
          <w:color w:val="112345"/>
          <w:sz w:val="18"/>
        </w:rPr>
        <w:t>CAPABILITY FORMATION  /  YOUTUBE</w:t>
      </w:r>
    </w:p>
    <w:p>
      <w:pPr>
        <w:keepNext w:val="0"/>
        <w:widowControl/>
        <w:spacing w:before="0" w:after="80" w:line="247" w:lineRule="auto"/>
      </w:pPr>
      <w:r>
        <w:rPr>
          <w:rFonts w:ascii="Calibri" w:hAnsi="Calibri" w:eastAsia="Calibri" w:cs="Calibri"/>
          <w:b w:val="0"/>
          <w:i w:val="0"/>
          <w:color w:val="566375"/>
          <w:sz w:val="17"/>
        </w:rPr>
        <w:t>NEW PUBLIC V9  |  FORMER ROADMAP V27  |  September 16, 2026</w:t>
      </w:r>
    </w:p>
    <w:p>
      <w:pPr>
        <w:keepNext/>
        <w:widowControl/>
        <w:spacing w:before="0" w:after="100" w:line="247" w:lineRule="auto"/>
      </w:pPr>
      <w:r>
        <w:rPr>
          <w:rFonts w:ascii="Calibri" w:hAnsi="Calibri" w:eastAsia="Calibri" w:cs="Calibri"/>
          <w:b/>
          <w:i w:val="0"/>
          <w:color w:val="112345"/>
          <w:sz w:val="36"/>
        </w:rPr>
        <w:t>Transferable Skills Advice Is Missing Something</w:t>
      </w:r>
    </w:p>
    <w:p>
      <w:pPr>
        <w:keepNext/>
        <w:widowControl/>
        <w:spacing w:before="0" w:after="140" w:line="247" w:lineRule="auto"/>
      </w:pPr>
      <w:r>
        <w:rPr>
          <w:rFonts w:ascii="Calibri" w:hAnsi="Calibri" w:eastAsia="Calibri" w:cs="Calibri"/>
          <w:b w:val="0"/>
          <w:i w:val="0"/>
          <w:color w:val="566375"/>
          <w:sz w:val="17"/>
        </w:rPr>
        <w:t>THUMBNAIL: NOT EVERYTHING TRAVELS</w:t>
      </w:r>
    </w:p>
    <w:p>
      <w:pPr>
        <w:keepNext/>
        <w:widowControl/>
        <w:spacing w:before="0" w:after="180" w:line="247" w:lineRule="auto"/>
        <w:pBdr>
          <w:bottom w:val="single" w:sz="6" w:space="5" w:color="C9A84C"/>
        </w:pBdr>
      </w:pPr>
      <w:r>
        <w:rPr>
          <w:rFonts w:ascii="Calibri" w:hAnsi="Calibri" w:eastAsia="Calibri" w:cs="Calibri"/>
          <w:b/>
          <w:i w:val="0"/>
          <w:color w:val="112345"/>
          <w:sz w:val="18"/>
        </w:rPr>
        <w:t>COPY-READY YOUTUBE DESCRIPTION</w:t>
      </w:r>
    </w:p>
    <w:p>
      <w:pPr>
        <w:keepNext w:val="0"/>
        <w:widowControl/>
        <w:spacing w:before="0" w:after="10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2"/>
        </w:rPr>
        <w:t>When you think about changing industries, the obvious first question is what skills transfer. It sounds sensible, and I think it is incomplete.</w:t>
      </w:r>
    </w:p>
    <w:p>
      <w:pPr>
        <w:keepNext w:val="0"/>
        <w:widowControl/>
        <w:spacing w:before="0" w:after="10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2"/>
        </w:rPr>
        <w:t>Four questions instead: What travels? What does not? What can I prove? What must I relearn?</w:t>
      </w:r>
    </w:p>
    <w:p>
      <w:pPr>
        <w:keepNext w:val="0"/>
        <w:widowControl/>
        <w:spacing w:before="0" w:after="10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2"/>
        </w:rPr>
        <w:t>This is not an argument that nothing transfers. It is an argument for accuracy. An employer may still prefer direct experience. A credential may be non-negotiable. Bias may affect how adjacent experience is read. None of that disappears because you can explain your capability well, and you make a better decision when you know exactly what you are asking the next employer to believe.</w:t>
      </w:r>
    </w:p>
    <w:p>
      <w:pPr>
        <w:keepNext/>
        <w:spacing w:before="140" w:after="40" w:line="240" w:lineRule="auto"/>
      </w:pPr>
      <w:r>
        <w:rPr>
          <w:rFonts w:ascii="Noto Color Emoji" w:hAnsi="Noto Color Emoji" w:eastAsia="Noto Color Emoji" w:cs="Noto Color Emoji"/>
          <w:b w:val="0"/>
          <w:i w:val="0"/>
          <w:color w:val="112345"/>
          <w:sz w:val="22"/>
        </w:rPr>
        <w:t xml:space="preserve">🧭 </w:t>
      </w:r>
      <w:r>
        <w:rPr>
          <w:rFonts w:ascii="Calibri" w:hAnsi="Calibri" w:eastAsia="Calibri" w:cs="Calibri"/>
          <w:b/>
          <w:i w:val="0"/>
          <w:color w:val="112345"/>
          <w:sz w:val="22"/>
        </w:rPr>
        <w:t>Free career decision check</w:t>
      </w:r>
    </w:p>
    <w:p>
      <w:pPr>
        <w:keepNext/>
        <w:widowControl/>
        <w:spacing w:before="0" w:after="40" w:line="247" w:lineRule="auto"/>
      </w:pPr>
      <w:r>
        <w:rPr>
          <w:rFonts w:ascii="Calibri" w:hAnsi="Calibri" w:eastAsia="Calibri" w:cs="Calibri"/>
          <w:b/>
          <w:i w:val="0"/>
          <w:color w:val="243044"/>
          <w:sz w:val="22"/>
        </w:rPr>
        <w:t>Career Decision Evidence Check</w:t>
      </w:r>
    </w:p>
    <w:p>
      <w:pPr>
        <w:keepNext w:val="0"/>
        <w:widowControl/>
        <w:spacing w:before="0" w:after="10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2"/>
        </w:rPr>
        <w:t>Use this free check to look at what your current work is building, what may be narrowing, and what deserves a closer decision.</w:t>
      </w:r>
    </w:p>
    <w:p>
      <w:pPr>
        <w:keepNext w:val="0"/>
        <w:widowControl/>
        <w:spacing w:before="0" w:after="6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1"/>
        </w:rPr>
      </w:r>
      <w:hyperlink r:id="rId9">
        <w:r>
          <w:rPr>
            <w:rFonts w:ascii="Calibri" w:hAnsi="Calibri"/>
            <w:sz w:val="21"/>
            <w:color w:val="112345"/>
            <w:u w:val="single"/>
          </w:rPr>
          <w:t>https://temidayoafonja.com/career-decisions</w:t>
        </w:r>
      </w:hyperlink>
    </w:p>
    <w:p>
      <w:pPr>
        <w:keepNext/>
        <w:spacing w:before="140" w:after="40" w:line="240" w:lineRule="auto"/>
      </w:pPr>
      <w:r>
        <w:rPr>
          <w:rFonts w:ascii="Noto Color Emoji" w:hAnsi="Noto Color Emoji" w:eastAsia="Noto Color Emoji" w:cs="Noto Color Emoji"/>
          <w:b w:val="0"/>
          <w:i w:val="0"/>
          <w:color w:val="112345"/>
          <w:sz w:val="22"/>
        </w:rPr>
        <w:t xml:space="preserve">🎥 </w:t>
      </w:r>
      <w:r>
        <w:rPr>
          <w:rFonts w:ascii="Calibri" w:hAnsi="Calibri" w:eastAsia="Calibri" w:cs="Calibri"/>
          <w:b/>
          <w:i w:val="0"/>
          <w:color w:val="112345"/>
          <w:sz w:val="22"/>
        </w:rPr>
        <w:t>Watch next</w:t>
      </w:r>
    </w:p>
    <w:p>
      <w:pPr>
        <w:keepNext/>
        <w:widowControl/>
        <w:spacing w:before="0" w:after="4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1"/>
        </w:rPr>
        <w:t>Which Parts of Your Experience Actually Transfer to Another Industry?</w:t>
      </w:r>
    </w:p>
    <w:p>
      <w:pPr>
        <w:keepNext w:val="0"/>
        <w:widowControl/>
        <w:spacing w:before="0" w:after="80" w:line="247" w:lineRule="auto"/>
      </w:pPr>
      <w:r>
        <w:rPr>
          <w:rFonts w:ascii="Calibri" w:hAnsi="Calibri" w:eastAsia="Calibri" w:cs="Calibri"/>
          <w:b w:val="0"/>
          <w:i w:val="0"/>
          <w:color w:val="566375"/>
          <w:sz w:val="18"/>
        </w:rPr>
        <w:t>[PASTE VIDEO URL AFTER UPLOAD]</w:t>
      </w:r>
    </w:p>
    <w:p>
      <w:pPr>
        <w:keepNext/>
        <w:spacing w:before="140" w:after="40" w:line="240" w:lineRule="auto"/>
      </w:pPr>
      <w:r>
        <w:rPr>
          <w:rFonts w:ascii="Noto Color Emoji" w:hAnsi="Noto Color Emoji" w:eastAsia="Noto Color Emoji" w:cs="Noto Color Emoji"/>
          <w:b w:val="0"/>
          <w:i w:val="0"/>
          <w:color w:val="112345"/>
          <w:sz w:val="22"/>
        </w:rPr>
        <w:t xml:space="preserve">📺 </w:t>
      </w:r>
      <w:r>
        <w:rPr>
          <w:rFonts w:ascii="Calibri" w:hAnsi="Calibri" w:eastAsia="Calibri" w:cs="Calibri"/>
          <w:b/>
          <w:i w:val="0"/>
          <w:color w:val="112345"/>
          <w:sz w:val="22"/>
        </w:rPr>
        <w:t>Playlist</w:t>
      </w:r>
    </w:p>
    <w:p>
      <w:pPr>
        <w:keepNext/>
        <w:widowControl/>
        <w:spacing w:before="0" w:after="4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1"/>
        </w:rPr>
        <w:t>Capability Formation: career pivots and internal moves</w:t>
      </w:r>
    </w:p>
    <w:p>
      <w:pPr>
        <w:keepNext w:val="0"/>
        <w:widowControl/>
        <w:spacing w:before="0" w:after="80" w:line="247" w:lineRule="auto"/>
      </w:pPr>
      <w:r>
        <w:rPr>
          <w:rFonts w:ascii="Calibri" w:hAnsi="Calibri" w:eastAsia="Calibri" w:cs="Calibri"/>
          <w:b w:val="0"/>
          <w:i w:val="0"/>
          <w:color w:val="566375"/>
          <w:sz w:val="18"/>
        </w:rPr>
        <w:t>[PASTE PLAYLIST URL AFTER UPLOAD]</w:t>
      </w:r>
    </w:p>
    <w:p>
      <w:pPr>
        <w:keepNext/>
        <w:spacing w:before="160" w:after="40" w:line="240" w:lineRule="auto"/>
      </w:pPr>
      <w:r>
        <w:rPr>
          <w:rFonts w:ascii="Noto Color Emoji" w:hAnsi="Noto Color Emoji" w:eastAsia="Noto Color Emoji" w:cs="Noto Color Emoji"/>
          <w:b w:val="0"/>
          <w:i w:val="0"/>
          <w:color w:val="112345"/>
          <w:sz w:val="22"/>
        </w:rPr>
        <w:t xml:space="preserve">🙏 </w:t>
      </w:r>
      <w:r>
        <w:rPr>
          <w:rFonts w:ascii="Calibri" w:hAnsi="Calibri" w:eastAsia="Calibri" w:cs="Calibri"/>
          <w:b/>
          <w:i w:val="0"/>
          <w:color w:val="112345"/>
          <w:sz w:val="22"/>
        </w:rPr>
        <w:t>A faith anchor</w:t>
      </w:r>
    </w:p>
    <w:p>
      <w:pPr>
        <w:keepNext/>
        <w:widowControl/>
        <w:spacing w:before="0" w:after="40" w:line="247" w:lineRule="auto"/>
      </w:pPr>
      <w:r>
        <w:rPr>
          <w:rFonts w:ascii="Calibri" w:hAnsi="Calibri" w:eastAsia="Calibri" w:cs="Calibri"/>
          <w:b w:val="0"/>
          <w:i/>
          <w:color w:val="112345"/>
          <w:sz w:val="22"/>
        </w:rPr>
        <w:t>“let God transform you into a new person by changing the way you think.”</w:t>
      </w:r>
    </w:p>
    <w:p>
      <w:pPr>
        <w:keepNext/>
        <w:widowControl/>
        <w:spacing w:before="0" w:after="80" w:line="247" w:lineRule="auto"/>
      </w:pPr>
      <w:r>
        <w:rPr>
          <w:rFonts w:ascii="Calibri" w:hAnsi="Calibri" w:eastAsia="Calibri" w:cs="Calibri"/>
          <w:b w:val="0"/>
          <w:i w:val="0"/>
          <w:color w:val="112345"/>
          <w:sz w:val="19"/>
        </w:rPr>
      </w:r>
      <w:hyperlink r:id="rId10">
        <w:r>
          <w:rPr>
            <w:rFonts w:ascii="Calibri" w:hAnsi="Calibri"/>
            <w:sz w:val="19"/>
            <w:color w:val="112345"/>
            <w:u w:val="single"/>
          </w:rPr>
          <w:t>Romans 12:2 (NLT, excerpt)</w:t>
        </w:r>
      </w:hyperlink>
    </w:p>
    <w:p>
      <w:pPr>
        <w:keepNext w:val="0"/>
        <w:widowControl/>
        <w:spacing w:before="0" w:after="100" w:line="247" w:lineRule="auto"/>
      </w:pPr>
      <w:r>
        <w:rPr>
          <w:rFonts w:ascii="Calibri" w:hAnsi="Calibri" w:eastAsia="Calibri" w:cs="Calibri"/>
          <w:b w:val="0"/>
          <w:i w:val="0"/>
          <w:color w:val="243044"/>
          <w:sz w:val="22"/>
        </w:rPr>
        <w:t>I want to stay open to what God is teaching me, not only hold tightly to what I already know. You can honor your experience and still be willing to learn again. Having something new to learn does not erase what you already bring.</w:t>
      </w:r>
    </w:p>
    <w:p>
      <w:pPr>
        <w:keepNext w:val="0"/>
        <w:widowControl/>
        <w:spacing w:before="40" w:after="0" w:line="247" w:lineRule="auto"/>
      </w:pPr>
      <w:r>
        <w:rPr>
          <w:rFonts w:ascii="Calibri" w:hAnsi="Calibri" w:eastAsia="Calibri" w:cs="Calibri"/>
          <w:b w:val="0"/>
          <w:i w:val="0"/>
          <w:color w:val="566375"/>
          <w:sz w:val="15"/>
        </w:rPr>
        <w:t>Scripture quotations are taken from the Holy Bible, New Living Translation, copyright ©1996, 2004, 2015 by Tyndale House Foundation. Used by permission of Tyndale House Publishers, Carol Stream, Illinois 60188. All rights reserved.</w:t>
      </w:r>
    </w:p>
    <w:sectPr w:rsidR="00FC693F" w:rsidRPr="0006063C" w:rsidSect="00034616">
      <w:footerReference w:type="default" r:id="rId11"/>
      <w:pgSz w:w="12240" w:h="15840"/>
      <w:pgMar w:top="835" w:right="1008" w:bottom="950" w:left="1008" w:header="288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Calibri" w:hAnsi="Calibri" w:eastAsia="Calibri" w:cs="Calibri"/>
        <w:b/>
        <w:i w:val="0"/>
        <w:color w:val="112345"/>
        <w:sz w:val="15"/>
      </w:rPr>
      <w:t xml:space="preserve">PUBLISHING NOTE  </w:t>
    </w:r>
    <w:r>
      <w:rPr>
        <w:rFonts w:ascii="Calibri" w:hAnsi="Calibri" w:eastAsia="Calibri" w:cs="Calibri"/>
        <w:b w:val="0"/>
        <w:i w:val="0"/>
        <w:color w:val="566375"/>
        <w:sz w:val="15"/>
      </w:rPr>
      <w:t>Replace the two bracketed link placeholders and confirm both destinations before publishing.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idayoafonja.com/career-decisions" TargetMode="External"/><Relationship Id="rId10" Type="http://schemas.openxmlformats.org/officeDocument/2006/relationships/hyperlink" Target="https://www.biblegateway.com/passage/?search=Romans+12%3A2&amp;version=NLT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Transferable Skills Advice Is Missing Something | Full YouTube Description</dc:title>
  <dc:subject>NEW PUBLIC V9: description with scripture and faith reflection</dc:subject>
  <dc:creator>Temidayo Afonja</dc:creator>
  <cp:keywords>Capability Formation, YouTube, description, faith anchor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