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V11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What Is the Cost of Role Drift?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64 words, about 0:23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Then ask COST. What does the difference actually cost you?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every mismatch deserves the same response.</w:t>
      </w:r>
    </w:p>
    <w:p>
      <w:pPr>
        <w:spacing w:before="0" w:after="80"/>
      </w:pPr>
      <w:r>
        <w:rPr>
          <w:b w:val="0"/>
          <w:i w:val="0"/>
          <w:sz w:val="22"/>
        </w:rPr>
        <w:t>I would look at four costs.</w:t>
      </w:r>
    </w:p>
    <w:p>
      <w:pPr>
        <w:spacing w:before="0" w:after="80"/>
      </w:pPr>
      <w:r>
        <w:rPr>
          <w:b w:val="0"/>
          <w:i w:val="0"/>
          <w:sz w:val="22"/>
        </w:rPr>
        <w:t>CAPABILITY. Is this role building judgment, scope, and experience you want to carry forward?</w:t>
      </w:r>
    </w:p>
    <w:p>
      <w:pPr>
        <w:spacing w:before="0" w:after="80"/>
      </w:pPr>
      <w:r>
        <w:rPr>
          <w:b w:val="0"/>
          <w:i w:val="0"/>
          <w:sz w:val="22"/>
        </w:rPr>
        <w:t>EVIDENCE. Will you be able to prove meaningful work from this version of the job?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 mismatch can be manageable in one category and unacceptable in another.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