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Decisions required</w:t>
      </w:r>
    </w:p>
    <w:p>
      <w:pPr>
        <w:spacing w:before="0" w:after="280"/>
      </w:pPr>
      <w:r>
        <w:rPr>
          <w:b w:val="0"/>
          <w:i w:val="0"/>
          <w:color w:val="5A6B82"/>
          <w:sz w:val="20"/>
        </w:rPr>
        <w:t>Everything that needs your approval, in one place</w:t>
      </w:r>
    </w:p>
    <w:p>
      <w:pPr>
        <w:spacing w:before="0" w:after="240"/>
        <w:pBdr>
          <w:bottom w:val="single" w:sz="6" w:color="8A6D1E"/>
        </w:pBdr>
      </w:pPr>
    </w:p>
    <w:p>
      <w:pPr>
        <w:spacing w:after="80"/>
      </w:pPr>
      <w:r>
        <w:rPr>
          <w:b/>
          <w:color w:val="8A6D1E"/>
          <w:sz w:val="20"/>
        </w:rPr>
        <w:t xml:space="preserve">Generated  </w:t>
      </w:r>
      <w:r>
        <w:rPr>
          <w:sz w:val="21"/>
        </w:rPr>
        <w:t>Wednesday, September 16, 2026 | 1:46 PM CT</w:t>
      </w:r>
    </w:p>
    <w:p>
      <w:pPr>
        <w:spacing w:after="80"/>
      </w:pPr>
      <w:r>
        <w:rPr>
          <w:b/>
          <w:color w:val="8A6D1E"/>
          <w:sz w:val="20"/>
        </w:rPr>
        <w:t xml:space="preserve">Items  </w:t>
      </w:r>
      <w:r>
        <w:rPr>
          <w:sz w:val="21"/>
        </w:rPr>
        <w:t>2</w:t>
      </w:r>
    </w:p>
    <w:p>
      <w:pPr>
        <w:spacing w:before="320" w:after="120"/>
        <w:keepNext w:val="1"/>
        <w:keepLines w:val="1"/>
      </w:pPr>
      <w:r>
        <w:rPr>
          <w:b/>
          <w:i w:val="0"/>
          <w:color w:val="112345"/>
          <w:sz w:val="26"/>
        </w:rPr>
        <w:t>1. V4 NUMERICAL OPENING. RELEASE PENDING.</w:t>
      </w:r>
    </w:p>
    <w:p>
      <w:pPr>
        <w:spacing w:before="0" w:after="160"/>
      </w:pPr>
      <w:r>
        <w:rPr>
          <w:b/>
          <w:i w:val="0"/>
          <w:sz w:val="22"/>
        </w:rPr>
        <w:t>The spoken opening is: “AI can do in 30 seconds what used to take someone three hours.”</w:t>
      </w:r>
    </w:p>
    <w:p>
      <w:pPr>
        <w:spacing w:before="120" w:after="160"/>
      </w:pPr>
      <w:r>
        <w:rPr>
          <w:b w:val="0"/>
          <w:i w:val="0"/>
          <w:sz w:val="21"/>
        </w:rPr>
        <w:t>I searched this workspace for direct support of that specific comparison. There is none. V4's own evidence note, written for the accepted sprint package, states plainly that the video cites no employer, posting or research corpus. No study, benchmark or measurement in any available source supports a 30-second against three-hour comparison, and I did not look for an unrelated study to press into service as retroactive support.</w:t>
      </w:r>
    </w:p>
    <w:p>
      <w:pPr>
        <w:spacing w:before="200" w:after="200"/>
        <w:ind w:left="216"/>
        <w:pBdr>
          <w:left w:val="single" w:sz="18" w:color="9B2C10" w:space="8"/>
        </w:pBdr>
        <w:keepNext w:val="1"/>
        <w:keepLines w:val="1"/>
      </w:pPr>
      <w:r>
        <w:rPr>
          <w:b/>
          <w:color w:val="9B2C10"/>
          <w:sz w:val="21"/>
        </w:rPr>
        <w:t>The master was NOT changed. V4 is marked RELEASE PENDING in its publishing checklist, its open-issues file and its evidence notes.</w:t>
      </w:r>
    </w:p>
    <w:p>
      <w:pPr>
        <w:spacing w:before="200" w:after="60"/>
        <w:keepNext w:val="1"/>
        <w:keepLines w:val="1"/>
      </w:pPr>
      <w:r>
        <w:rPr>
          <w:b/>
          <w:i w:val="0"/>
          <w:color w:val="8A6D1E"/>
          <w:sz w:val="17"/>
        </w:rPr>
        <w:t>ONE MINIMAL, EXPLICITLY HYPOTHETICAL REPLACEMENT, FOR APPROVAL</w:t>
      </w:r>
    </w:p>
    <w:p>
      <w:pPr>
        <w:spacing w:before="0" w:after="160"/>
      </w:pPr>
      <w:r>
        <w:rPr>
          <w:b w:val="0"/>
          <w:i w:val="0"/>
          <w:sz w:val="21"/>
        </w:rPr>
        <w:t>Replace the first sentence only:</w:t>
      </w:r>
    </w:p>
    <w:p>
      <w:pPr>
        <w:spacing w:before="80" w:after="80"/>
      </w:pPr>
      <w:r>
        <w:rPr>
          <w:b/>
          <w:i w:val="0"/>
          <w:sz w:val="24"/>
        </w:rPr>
        <w:t>“A task that used to take someone hours can now come back in seconds.”</w:t>
      </w:r>
    </w:p>
    <w:p>
      <w:pPr>
        <w:spacing w:before="0" w:after="160"/>
      </w:pPr>
      <w:r>
        <w:rPr>
          <w:b w:val="0"/>
          <w:i w:val="0"/>
          <w:sz w:val="21"/>
        </w:rPr>
        <w:t>It keeps the contrast the hook needs and the rhythm of the line, drops the two specific figures, and claims nothing measurable. The following sentences already work with it: “That sounds like progress. But those three hours were not always wasted.” would become “That sounds like progress. But those hours were not always wasted.”</w:t>
      </w:r>
    </w:p>
    <w:p>
      <w:pPr>
        <w:spacing w:before="200" w:after="60"/>
        <w:keepNext w:val="1"/>
        <w:keepLines w:val="1"/>
      </w:pPr>
      <w:r>
        <w:rPr>
          <w:b/>
          <w:i w:val="0"/>
          <w:color w:val="8A6D1E"/>
          <w:sz w:val="17"/>
        </w:rPr>
        <w:t>EVERYTHING THAT DEPENDS ON THIS DECISION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t>WHAT CHANGES IF YOU APPROVE</w:t>
            </w:r>
          </w:p>
        </w:tc>
      </w:tr>
      <w:tr>
        <w:tc>
          <w:tcPr>
            <w:tcW w:type="dxa" w:w="1872"/>
          </w:tcPr>
          <w:p>
            <w:pPr>
              <w:spacing w:before="60" w:after="60" w:line="264" w:lineRule="auto"/>
            </w:pPr>
            <w:r/>
            <w:r>
              <w:rPr>
                <w:b w:val="0"/>
                <w:i w:val="0"/>
                <w:sz w:val="17"/>
              </w:rPr>
              <w:t>Spoken master</w:t>
            </w:r>
          </w:p>
        </w:tc>
        <w:tc>
          <w:tcPr>
            <w:tcW w:type="dxa" w:w="7776"/>
          </w:tcPr>
          <w:p>
            <w:pPr>
              <w:spacing w:before="60" w:after="60" w:line="264" w:lineRule="auto"/>
            </w:pPr>
            <w:r/>
            <w:r>
              <w:rPr>
                <w:b w:val="0"/>
                <w:i w:val="0"/>
                <w:sz w:val="17"/>
              </w:rPr>
              <w:t>Two sentences in the V4 hook. Nothing else.</w:t>
            </w:r>
          </w:p>
        </w:tc>
      </w:tr>
      <w:tr>
        <w:tc>
          <w:tcPr>
            <w:tcW w:type="dxa" w:w="1872"/>
          </w:tcPr>
          <w:p>
            <w:pPr>
              <w:spacing w:before="60" w:after="60" w:line="264" w:lineRule="auto"/>
            </w:pPr>
            <w:r/>
            <w:r>
              <w:rPr>
                <w:b w:val="0"/>
                <w:i w:val="0"/>
                <w:sz w:val="17"/>
              </w:rPr>
              <w:t>Thought blocks</w:t>
            </w:r>
          </w:p>
        </w:tc>
        <w:tc>
          <w:tcPr>
            <w:tcW w:type="dxa" w:w="7776"/>
          </w:tcPr>
          <w:p>
            <w:pPr>
              <w:spacing w:before="60" w:after="60" w:line="264" w:lineRule="auto"/>
            </w:pPr>
            <w:r/>
            <w:r>
              <w:rPr>
                <w:b w:val="0"/>
                <w:i w:val="0"/>
                <w:sz w:val="17"/>
              </w:rPr>
              <w:t>Block 01 regenerates from the corrected master.</w:t>
            </w:r>
          </w:p>
        </w:tc>
      </w:tr>
      <w:tr>
        <w:tc>
          <w:tcPr>
            <w:tcW w:type="dxa" w:w="1872"/>
          </w:tcPr>
          <w:p>
            <w:pPr>
              <w:spacing w:before="60" w:after="60" w:line="264" w:lineRule="auto"/>
            </w:pPr>
            <w:r/>
            <w:r>
              <w:rPr>
                <w:b w:val="0"/>
                <w:i w:val="0"/>
                <w:sz w:val="17"/>
              </w:rPr>
              <w:t>Word count</w:t>
            </w:r>
          </w:p>
        </w:tc>
        <w:tc>
          <w:tcPr>
            <w:tcW w:type="dxa" w:w="7776"/>
          </w:tcPr>
          <w:p>
            <w:pPr>
              <w:spacing w:before="60" w:after="60" w:line="264" w:lineRule="auto"/>
            </w:pPr>
            <w:r/>
            <w:r>
              <w:rPr>
                <w:b w:val="0"/>
                <w:i w:val="0"/>
                <w:sz w:val="17"/>
              </w:rPr>
              <w:t>V4 drops by roughly three words. Recounted on rebuild.</w:t>
            </w:r>
          </w:p>
        </w:tc>
      </w:tr>
      <w:tr>
        <w:tc>
          <w:tcPr>
            <w:tcW w:type="dxa" w:w="1872"/>
          </w:tcPr>
          <w:p>
            <w:pPr>
              <w:spacing w:before="60" w:after="60" w:line="264" w:lineRule="auto"/>
            </w:pPr>
            <w:r/>
            <w:r>
              <w:rPr>
                <w:b w:val="0"/>
                <w:i w:val="0"/>
                <w:sz w:val="17"/>
              </w:rPr>
              <w:t>Cards</w:t>
            </w:r>
          </w:p>
        </w:tc>
        <w:tc>
          <w:tcPr>
            <w:tcW w:type="dxa" w:w="7776"/>
          </w:tcPr>
          <w:p>
            <w:pPr>
              <w:spacing w:before="60" w:after="60" w:line="264" w:lineRule="auto"/>
            </w:pPr>
            <w:r/>
            <w:r>
              <w:rPr>
                <w:b w:val="0"/>
                <w:i w:val="0"/>
                <w:sz w:val="17"/>
              </w:rPr>
              <w:t>None. No card carries the comparison; that was deliberate.</w:t>
            </w:r>
          </w:p>
        </w:tc>
      </w:tr>
      <w:tr>
        <w:tc>
          <w:tcPr>
            <w:tcW w:type="dxa" w:w="1872"/>
          </w:tcPr>
          <w:p>
            <w:pPr>
              <w:spacing w:before="60" w:after="60" w:line="264" w:lineRule="auto"/>
            </w:pPr>
            <w:r/>
            <w:r>
              <w:rPr>
                <w:b w:val="0"/>
                <w:i w:val="0"/>
                <w:sz w:val="17"/>
              </w:rPr>
              <w:t>Shorts</w:t>
            </w:r>
          </w:p>
        </w:tc>
        <w:tc>
          <w:tcPr>
            <w:tcW w:type="dxa" w:w="7776"/>
          </w:tcPr>
          <w:p>
            <w:pPr>
              <w:spacing w:before="60" w:after="60" w:line="264" w:lineRule="auto"/>
            </w:pPr>
            <w:r/>
            <w:r>
              <w:rPr>
                <w:b w:val="0"/>
                <w:i w:val="0"/>
                <w:sz w:val="17"/>
              </w:rPr>
              <w:t>None. All three V4 candidates were built to avoid the comparison for exactly this reason.</w:t>
            </w:r>
          </w:p>
        </w:tc>
      </w:tr>
      <w:tr>
        <w:tc>
          <w:tcPr>
            <w:tcW w:type="dxa" w:w="1872"/>
          </w:tcPr>
          <w:p>
            <w:pPr>
              <w:spacing w:before="60" w:after="60" w:line="264" w:lineRule="auto"/>
            </w:pPr>
            <w:r/>
            <w:r>
              <w:rPr>
                <w:b w:val="0"/>
                <w:i w:val="0"/>
                <w:sz w:val="17"/>
              </w:rPr>
              <w:t>Cues and accents</w:t>
            </w:r>
          </w:p>
        </w:tc>
        <w:tc>
          <w:tcPr>
            <w:tcW w:type="dxa" w:w="7776"/>
          </w:tcPr>
          <w:p>
            <w:pPr>
              <w:spacing w:before="60" w:after="60" w:line="264" w:lineRule="auto"/>
            </w:pPr>
            <w:r/>
            <w:r>
              <w:rPr>
                <w:b w:val="0"/>
                <w:i w:val="0"/>
                <w:sz w:val="17"/>
              </w:rPr>
              <w:t>The opening beat's exact trigger changes to the new first sentence. S1 and the camera beats are unaffected.</w:t>
            </w:r>
          </w:p>
        </w:tc>
      </w:tr>
      <w:tr>
        <w:tc>
          <w:tcPr>
            <w:tcW w:type="dxa" w:w="1872"/>
          </w:tcPr>
          <w:p>
            <w:pPr>
              <w:spacing w:before="60" w:after="60" w:line="264" w:lineRule="auto"/>
            </w:pPr>
            <w:r/>
            <w:r>
              <w:rPr>
                <w:b w:val="0"/>
                <w:i w:val="0"/>
                <w:sz w:val="17"/>
              </w:rPr>
              <w:t>Description</w:t>
            </w:r>
          </w:p>
        </w:tc>
        <w:tc>
          <w:tcPr>
            <w:tcW w:type="dxa" w:w="7776"/>
          </w:tcPr>
          <w:p>
            <w:pPr>
              <w:spacing w:before="60" w:after="60" w:line="264" w:lineRule="auto"/>
            </w:pPr>
            <w:r/>
            <w:r>
              <w:rPr>
                <w:b w:val="0"/>
                <w:i w:val="0"/>
                <w:sz w:val="17"/>
              </w:rPr>
              <w:t>None. The approved description does not use the figures.</w:t>
            </w:r>
          </w:p>
        </w:tc>
      </w:tr>
    </w:tbl>
    <w:p>
      <w:pPr>
        <w:spacing w:after="120"/>
      </w:pPr>
    </w:p>
    <w:p>
      <w:pPr>
        <w:spacing w:before="120" w:after="160"/>
      </w:pPr>
      <w:r>
        <w:rPr>
          <w:b w:val="0"/>
          <w:i w:val="0"/>
          <w:sz w:val="21"/>
        </w:rPr>
        <w:t>If you would rather substantiate the original line instead, supply the source and I will record it with its limits and lift the release hold without changing a word.</w:t>
      </w:r>
    </w:p>
    <w:p>
      <w:pPr>
        <w:spacing w:before="320" w:after="120"/>
        <w:keepNext w:val="1"/>
        <w:keepLines w:val="1"/>
      </w:pPr>
      <w:r>
        <w:rPr>
          <w:b/>
          <w:i w:val="0"/>
          <w:color w:val="112345"/>
          <w:sz w:val="26"/>
        </w:rPr>
        <w:t>2. WATCH NEXT AVAILABILITY</w:t>
      </w:r>
    </w:p>
    <w:p>
      <w:pPr>
        <w:spacing w:before="0" w:after="160"/>
      </w:pPr>
      <w:r>
        <w:rPr>
          <w:b w:val="0"/>
          <w:i w:val="0"/>
          <w:sz w:val="21"/>
        </w:rPr>
        <w:t>V10 points to V11 and V11 points to public V5. V11 is not published, so V10's destination cannot be live on V10's launch day unless the two publish together. Both are flagged PENDING LIVE AVAILABILITY rather than substituted. This needs a scheduling decision, not a script change.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These are the only two items that need you. Everything else in this pass is complete.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