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3A5E"/>
          <w:sz w:val="20"/>
        </w:rPr>
        <w:t>CAPABILITY FORMATION | VIDEO 6</w:t>
      </w:r>
    </w:p>
    <w:p>
      <w:pPr>
        <w:spacing w:after="40"/>
        <w:jc w:val="center"/>
      </w:pPr>
      <w:r>
        <w:rPr>
          <w:b/>
          <w:color w:val="112A4B"/>
          <w:sz w:val="42"/>
        </w:rPr>
        <w:t>Before You Take an Internal Role, Ask These 3 Questions</w:t>
      </w:r>
    </w:p>
    <w:p>
      <w:pPr>
        <w:spacing w:after="200"/>
        <w:jc w:val="center"/>
      </w:pPr>
      <w:r>
        <w:rPr>
          <w:b/>
          <w:color w:val="B5833B"/>
          <w:sz w:val="20"/>
        </w:rPr>
        <w:t>REVISED RECORDING MASTER v2.0</w:t>
      </w:r>
    </w:p>
    <w:tbl>
      <w:tblPr>
        <w:tblStyle w:val="TableGrid"/>
        <w:tblW w:type="auto" w:w="0"/>
        <w:jc w:val="center"/>
        <w:tblLook w:firstColumn="1" w:firstRow="1" w:lastColumn="0" w:lastRow="0" w:noHBand="0" w:noVBand="1" w:val="04A0"/>
      </w:tblPr>
      <w:tblGrid>
        <w:gridCol w:w="5184"/>
        <w:gridCol w:w="5184"/>
      </w:tblGrid>
      <w:tr>
        <w:tc>
          <w:tcPr>
            <w:tcW w:type="dxa" w:w="5184"/>
            <w:shd w:fill="EDE7DA"/>
            <w:vAlign w:val="center"/>
          </w:tcPr>
          <w:p>
            <w:pPr>
              <w:spacing w:after="0"/>
            </w:pPr>
            <w:r/>
            <w:r>
              <w:rPr>
                <w:b/>
                <w:color w:val="112A4B"/>
                <w:sz w:val="17"/>
              </w:rPr>
              <w:t>CREATED / REVISED</w:t>
            </w:r>
          </w:p>
        </w:tc>
        <w:tc>
          <w:tcPr>
            <w:tcW w:type="dxa" w:w="5184"/>
            <w:vAlign w:val="center"/>
          </w:tcPr>
          <w:p>
            <w:pPr>
              <w:spacing w:after="0"/>
            </w:pPr>
            <w:r/>
            <w:r>
              <w:rPr>
                <w:b w:val="0"/>
                <w:sz w:val="17"/>
              </w:rPr>
              <w:t>Tuesday, September 8, 2026</w:t>
            </w:r>
          </w:p>
        </w:tc>
      </w:tr>
      <w:tr>
        <w:tc>
          <w:tcPr>
            <w:tcW w:type="dxa" w:w="5184"/>
            <w:shd w:fill="EDE7DA"/>
            <w:vAlign w:val="center"/>
          </w:tcPr>
          <w:p>
            <w:pPr>
              <w:spacing w:after="0"/>
            </w:pPr>
            <w:r/>
            <w:r>
              <w:rPr>
                <w:b/>
                <w:color w:val="112A4B"/>
                <w:sz w:val="17"/>
              </w:rPr>
              <w:t>STATUS</w:t>
            </w:r>
          </w:p>
        </w:tc>
        <w:tc>
          <w:tcPr>
            <w:tcW w:type="dxa" w:w="5184"/>
            <w:vAlign w:val="center"/>
          </w:tcPr>
          <w:p>
            <w:pPr>
              <w:spacing w:after="0"/>
            </w:pPr>
            <w:r/>
            <w:r>
              <w:rPr>
                <w:b w:val="0"/>
                <w:sz w:val="17"/>
              </w:rPr>
              <w:t>Revised recording master v2.0 - advisor strategist pass</w:t>
            </w:r>
          </w:p>
        </w:tc>
      </w:tr>
      <w:tr>
        <w:tc>
          <w:tcPr>
            <w:tcW w:type="dxa" w:w="5184"/>
            <w:shd w:fill="EDE7DA"/>
            <w:vAlign w:val="center"/>
          </w:tcPr>
          <w:p>
            <w:pPr>
              <w:spacing w:after="0"/>
            </w:pPr>
            <w:r/>
            <w:r>
              <w:rPr>
                <w:b/>
                <w:color w:val="112A4B"/>
                <w:sz w:val="17"/>
              </w:rPr>
              <w:t>RECOMMENDED TITLE</w:t>
            </w:r>
          </w:p>
        </w:tc>
        <w:tc>
          <w:tcPr>
            <w:tcW w:type="dxa" w:w="5184"/>
            <w:vAlign w:val="center"/>
          </w:tcPr>
          <w:p>
            <w:pPr>
              <w:spacing w:after="0"/>
            </w:pPr>
            <w:r/>
            <w:r>
              <w:rPr>
                <w:b w:val="0"/>
                <w:sz w:val="17"/>
              </w:rPr>
              <w:t>Before You Take an Internal Role, Ask These 3 Questions</w:t>
            </w:r>
          </w:p>
        </w:tc>
      </w:tr>
      <w:tr>
        <w:tc>
          <w:tcPr>
            <w:tcW w:type="dxa" w:w="5184"/>
            <w:shd w:fill="EDE7DA"/>
            <w:vAlign w:val="center"/>
          </w:tcPr>
          <w:p>
            <w:pPr>
              <w:spacing w:after="0"/>
            </w:pPr>
            <w:r/>
            <w:r>
              <w:rPr>
                <w:b/>
                <w:color w:val="112A4B"/>
                <w:sz w:val="17"/>
              </w:rPr>
              <w:t>ALTERNATE SEARCH TITLE</w:t>
            </w:r>
          </w:p>
        </w:tc>
        <w:tc>
          <w:tcPr>
            <w:tcW w:type="dxa" w:w="5184"/>
            <w:vAlign w:val="center"/>
          </w:tcPr>
          <w:p>
            <w:pPr>
              <w:spacing w:after="0"/>
            </w:pPr>
            <w:r/>
            <w:r>
              <w:rPr>
                <w:b w:val="0"/>
                <w:sz w:val="17"/>
              </w:rPr>
              <w:t>Should I Make an Internal Move? 3 Questions to Decide</w:t>
            </w:r>
          </w:p>
        </w:tc>
      </w:tr>
      <w:tr>
        <w:tc>
          <w:tcPr>
            <w:tcW w:type="dxa" w:w="5184"/>
            <w:shd w:fill="EDE7DA"/>
            <w:vAlign w:val="center"/>
          </w:tcPr>
          <w:p>
            <w:pPr>
              <w:spacing w:after="0"/>
            </w:pPr>
            <w:r/>
            <w:r>
              <w:rPr>
                <w:b/>
                <w:color w:val="112A4B"/>
                <w:sz w:val="17"/>
              </w:rPr>
              <w:t>RECOMMENDED THUMBNAIL</w:t>
            </w:r>
          </w:p>
        </w:tc>
        <w:tc>
          <w:tcPr>
            <w:tcW w:type="dxa" w:w="5184"/>
            <w:vAlign w:val="center"/>
          </w:tcPr>
          <w:p>
            <w:pPr>
              <w:spacing w:after="0"/>
            </w:pPr>
            <w:r/>
            <w:r>
              <w:rPr>
                <w:b w:val="0"/>
                <w:sz w:val="17"/>
              </w:rPr>
              <w:t>NEW TITLE, SAME WORK?</w:t>
            </w:r>
          </w:p>
        </w:tc>
      </w:tr>
      <w:tr>
        <w:tc>
          <w:tcPr>
            <w:tcW w:type="dxa" w:w="5184"/>
            <w:shd w:fill="EDE7DA"/>
            <w:vAlign w:val="center"/>
          </w:tcPr>
          <w:p>
            <w:pPr>
              <w:spacing w:after="0"/>
            </w:pPr>
            <w:r/>
            <w:r>
              <w:rPr>
                <w:b/>
                <w:color w:val="112A4B"/>
                <w:sz w:val="17"/>
              </w:rPr>
              <w:t>TARGET RUNTIME</w:t>
            </w:r>
          </w:p>
        </w:tc>
        <w:tc>
          <w:tcPr>
            <w:tcW w:type="dxa" w:w="5184"/>
            <w:vAlign w:val="center"/>
          </w:tcPr>
          <w:p>
            <w:pPr>
              <w:spacing w:after="0"/>
            </w:pPr>
            <w:r/>
            <w:r>
              <w:rPr>
                <w:b w:val="0"/>
                <w:sz w:val="17"/>
              </w:rPr>
              <w:t>Approximately 11:30-12:30 finished. Do not pad to force runtime.</w:t>
            </w:r>
          </w:p>
        </w:tc>
      </w:tr>
      <w:tr>
        <w:tc>
          <w:tcPr>
            <w:tcW w:type="dxa" w:w="5184"/>
            <w:shd w:fill="EDE7DA"/>
            <w:vAlign w:val="center"/>
          </w:tcPr>
          <w:p>
            <w:pPr>
              <w:spacing w:after="0"/>
            </w:pPr>
            <w:r/>
            <w:r>
              <w:rPr>
                <w:b/>
                <w:color w:val="112A4B"/>
                <w:sz w:val="17"/>
              </w:rPr>
              <w:t>FRAMEWORK</w:t>
            </w:r>
          </w:p>
        </w:tc>
        <w:tc>
          <w:tcPr>
            <w:tcW w:type="dxa" w:w="5184"/>
            <w:vAlign w:val="center"/>
          </w:tcPr>
          <w:p>
            <w:pPr>
              <w:spacing w:after="0"/>
            </w:pPr>
            <w:r/>
            <w:r>
              <w:rPr>
                <w:b w:val="0"/>
                <w:sz w:val="17"/>
              </w:rPr>
              <w:t>Three questions: Work, Judgment, Evidence</w:t>
            </w:r>
          </w:p>
        </w:tc>
      </w:tr>
      <w:tr>
        <w:tc>
          <w:tcPr>
            <w:tcW w:type="dxa" w:w="5184"/>
            <w:shd w:fill="EDE7DA"/>
            <w:vAlign w:val="center"/>
          </w:tcPr>
          <w:p>
            <w:pPr>
              <w:spacing w:after="0"/>
            </w:pPr>
            <w:r/>
            <w:r>
              <w:rPr>
                <w:b/>
                <w:color w:val="112A4B"/>
                <w:sz w:val="17"/>
              </w:rPr>
              <w:t>PRIMARY CTA</w:t>
            </w:r>
          </w:p>
        </w:tc>
        <w:tc>
          <w:tcPr>
            <w:tcW w:type="dxa" w:w="5184"/>
            <w:vAlign w:val="center"/>
          </w:tcPr>
          <w:p>
            <w:pPr>
              <w:spacing w:after="0"/>
            </w:pPr>
            <w:r/>
            <w:r>
              <w:rPr>
                <w:b w:val="0"/>
                <w:sz w:val="17"/>
              </w:rPr>
              <w:t>Career Decision Evidence Check: https://temidayoafonja.com/career-decisions</w:t>
            </w:r>
          </w:p>
        </w:tc>
      </w:tr>
      <w:tr>
        <w:tc>
          <w:tcPr>
            <w:tcW w:type="dxa" w:w="5184"/>
            <w:shd w:fill="EDE7DA"/>
            <w:vAlign w:val="center"/>
          </w:tcPr>
          <w:p>
            <w:pPr>
              <w:spacing w:after="0"/>
            </w:pPr>
            <w:r/>
            <w:r>
              <w:rPr>
                <w:b/>
                <w:color w:val="112A4B"/>
                <w:sz w:val="17"/>
              </w:rPr>
              <w:t>WATCH NEXT</w:t>
            </w:r>
          </w:p>
        </w:tc>
        <w:tc>
          <w:tcPr>
            <w:tcW w:type="dxa" w:w="5184"/>
            <w:vAlign w:val="center"/>
          </w:tcPr>
          <w:p>
            <w:pPr>
              <w:spacing w:after="0"/>
            </w:pPr>
            <w:r/>
            <w:r>
              <w:rPr>
                <w:b w:val="0"/>
                <w:sz w:val="17"/>
              </w:rPr>
              <w:t>Video 7: Are You Growing, or Just Being Given More Work?</w:t>
            </w:r>
          </w:p>
        </w:tc>
      </w:tr>
      <w:tr>
        <w:tc>
          <w:tcPr>
            <w:tcW w:type="dxa" w:w="5184"/>
            <w:shd w:fill="EDE7DA"/>
            <w:vAlign w:val="center"/>
          </w:tcPr>
          <w:p>
            <w:pPr>
              <w:spacing w:after="0"/>
            </w:pPr>
            <w:r/>
            <w:r>
              <w:rPr>
                <w:b/>
                <w:color w:val="112A4B"/>
                <w:sz w:val="17"/>
              </w:rPr>
              <w:t>RECORDING FORMAT</w:t>
            </w:r>
          </w:p>
        </w:tc>
        <w:tc>
          <w:tcPr>
            <w:tcW w:type="dxa" w:w="5184"/>
            <w:vAlign w:val="center"/>
          </w:tcPr>
          <w:p>
            <w:pPr>
              <w:spacing w:after="0"/>
            </w:pPr>
            <w:r/>
            <w:r>
              <w:rPr>
                <w:b w:val="0"/>
                <w:sz w:val="17"/>
              </w:rPr>
              <w:t>Horizontal 16:9, camera-led teaching</w:t>
            </w:r>
          </w:p>
        </w:tc>
      </w:tr>
    </w:tbl>
    <w:p>
      <w:pPr>
        <w:spacing w:after="80"/>
      </w:pPr>
    </w:p>
    <w:tbl>
      <w:tblPr>
        <w:tblStyle w:val="TableGrid"/>
        <w:tblW w:type="auto" w:w="0"/>
        <w:jc w:val="center"/>
        <w:tblLook w:firstColumn="1" w:firstRow="1" w:lastColumn="0" w:lastRow="0" w:noHBand="0" w:noVBand="1" w:val="04A0"/>
      </w:tblPr>
      <w:tblGrid>
        <w:gridCol w:w="10368"/>
      </w:tblGrid>
      <w:tr>
        <w:tc>
          <w:tcPr>
            <w:tcW w:type="dxa" w:w="10368"/>
            <w:shd w:fill="F4F0E8"/>
          </w:tcPr>
          <w:p>
            <w:pPr>
              <w:spacing w:after="80"/>
            </w:pPr>
            <w:r/>
            <w:r>
              <w:rPr>
                <w:b/>
                <w:color w:val="112A4B"/>
                <w:sz w:val="20"/>
              </w:rPr>
              <w:t>PINNED COMMENT BRIDGE - COPY / PASTE</w:t>
            </w:r>
          </w:p>
          <w:p>
            <w:pPr>
              <w:spacing w:after="40" w:line="252" w:lineRule="auto"/>
            </w:pPr>
            <w:r>
              <w:t>Before you take an internal role, write one sentence for each:</w:t>
            </w:r>
          </w:p>
          <w:p>
            <w:pPr>
              <w:spacing w:after="40" w:line="252" w:lineRule="auto"/>
            </w:pPr>
            <w:r>
              <w:t>1. What different work will I enter?</w:t>
            </w:r>
          </w:p>
          <w:p>
            <w:pPr>
              <w:spacing w:after="40" w:line="252" w:lineRule="auto"/>
            </w:pPr>
            <w:r>
              <w:t>2. What judgment will I be trusted to carry?</w:t>
            </w:r>
          </w:p>
          <w:p>
            <w:pPr>
              <w:spacing w:after="40" w:line="252" w:lineRule="auto"/>
            </w:pPr>
            <w:r>
              <w:t>3. What evidence could I explain a year from now?</w:t>
            </w:r>
          </w:p>
          <w:p>
            <w:pPr>
              <w:spacing w:after="40" w:line="252" w:lineRule="auto"/>
            </w:pPr>
            <w:r>
              <w:t xml:space="preserve">The Career Decision Evidence Check is here if you want a structured way to work through the decision: </w:t>
            </w:r>
            <w:hyperlink r:id="rId9">
              <w:r>
                <w:rPr>
                  <w:color w:val="0563C1"/>
                  <w:u w:val="single"/>
                </w:rPr>
                <w:t>https://temidayoafonja.com/career-decisions</w:t>
              </w:r>
            </w:hyperlink>
          </w:p>
        </w:tc>
      </w:tr>
    </w:tbl>
    <w:p>
      <w:pPr>
        <w:spacing w:after="80"/>
      </w:pPr>
    </w:p>
    <w:p>
      <w:pPr>
        <w:pStyle w:val="Heading1"/>
        <w:spacing w:before="160" w:after="80"/>
      </w:pPr>
      <w:r>
        <w:rPr>
          <w:b/>
          <w:color w:val="112A4B"/>
        </w:rPr>
        <w:t>Advisor Strategy Notes - Not Spoken</w:t>
      </w:r>
    </w:p>
    <w:p>
      <w:pPr>
        <w:pStyle w:val="ListBullet"/>
        <w:spacing w:after="60" w:line="252" w:lineRule="auto"/>
      </w:pPr>
      <w:r>
        <w:rPr>
          <w:sz w:val="20"/>
        </w:rPr>
        <w:t>Lead with the risk of a safe-looking internal move. The central tension is: same logo does not always mean useful growth.</w:t>
      </w:r>
    </w:p>
    <w:p>
      <w:pPr>
        <w:pStyle w:val="ListBullet"/>
        <w:spacing w:after="60" w:line="252" w:lineRule="auto"/>
      </w:pPr>
      <w:r>
        <w:rPr>
          <w:sz w:val="20"/>
        </w:rPr>
        <w:t>Use the sharper thumbnail line: NEW TITLE, SAME WORK? It is more clickable than YOU MAY NOT NEED TO LEAVE because it creates doubt immediately.</w:t>
      </w:r>
    </w:p>
    <w:p>
      <w:pPr>
        <w:pStyle w:val="ListBullet"/>
        <w:spacing w:after="60" w:line="252" w:lineRule="auto"/>
      </w:pPr>
      <w:r>
        <w:rPr>
          <w:sz w:val="20"/>
        </w:rPr>
        <w:t>Keep one product route only: the free Career Decision Evidence Check. Do not mention the Field Kit, Keep the Proof, book, or workshop in this video.</w:t>
      </w:r>
    </w:p>
    <w:p>
      <w:pPr>
        <w:pStyle w:val="ListBullet"/>
        <w:spacing w:after="60" w:line="252" w:lineRule="auto"/>
      </w:pPr>
      <w:r>
        <w:rPr>
          <w:sz w:val="20"/>
        </w:rPr>
        <w:t>The strongest spoken line is: You may not need to leave. But the work does need to change.</w:t>
      </w:r>
    </w:p>
    <w:p>
      <w:pPr>
        <w:pStyle w:val="ListBullet"/>
        <w:spacing w:after="60" w:line="252" w:lineRule="auto"/>
      </w:pPr>
      <w:r>
        <w:rPr>
          <w:sz w:val="20"/>
        </w:rPr>
        <w:t>The video is not an argument for staying. It is a decision tool for reading whether the current organization can still give access to useful new work.</w:t>
      </w:r>
    </w:p>
    <w:p>
      <w:pPr>
        <w:pStyle w:val="Heading1"/>
        <w:spacing w:before="160" w:after="80"/>
      </w:pPr>
      <w:r>
        <w:rPr>
          <w:b/>
          <w:color w:val="112A4B"/>
        </w:rPr>
        <w:t>Quotation / Delivery Notes - Not Spoken</w:t>
      </w:r>
    </w:p>
    <w:p>
      <w:pPr>
        <w:pStyle w:val="ListBullet"/>
        <w:spacing w:after="60" w:line="252" w:lineRule="auto"/>
      </w:pPr>
      <w:r>
        <w:rPr>
          <w:sz w:val="20"/>
        </w:rPr>
        <w:t>Quotation marks indicate sample spoken questions, sample phrases, or language a viewer/hiring manager might use. Read them as quoted speech, not as source citations.</w:t>
      </w:r>
    </w:p>
    <w:p>
      <w:pPr>
        <w:pStyle w:val="ListBullet"/>
        <w:spacing w:after="60" w:line="252" w:lineRule="auto"/>
      </w:pPr>
      <w:r>
        <w:rPr>
          <w:sz w:val="20"/>
        </w:rPr>
        <w:t>Quoted / inner-question examples in this script include: "Am I leaving?", "Will this work build something new in me?", "You will have more to manage", and the portable evidence example beginning "I entered a new context..."</w:t>
      </w:r>
    </w:p>
    <w:p>
      <w:pPr>
        <w:pStyle w:val="ListBullet"/>
        <w:spacing w:after="60" w:line="252" w:lineRule="auto"/>
      </w:pPr>
      <w:r>
        <w:rPr>
          <w:sz w:val="20"/>
        </w:rPr>
        <w:t>Section labels such as HOOK, QUESTION 1, CTA, and WATCH NEXT are production markers and should not be spoken.</w:t>
      </w:r>
    </w:p>
    <w:p>
      <w:pPr>
        <w:pStyle w:val="ListBullet"/>
        <w:spacing w:after="60" w:line="252" w:lineRule="auto"/>
      </w:pPr>
      <w:r>
        <w:rPr>
          <w:sz w:val="20"/>
        </w:rPr>
        <w:t>When a visual is indicated in the motion-graphic map, place it as a true full-screen graphic unless the treatment says otherwise.</w:t>
      </w:r>
    </w:p>
    <w:p>
      <w:pPr>
        <w:pStyle w:val="Heading1"/>
        <w:spacing w:before="160" w:after="80"/>
      </w:pPr>
      <w:r>
        <w:rPr>
          <w:b/>
          <w:color w:val="112A4B"/>
        </w:rPr>
        <w:t>Editorial Direction - Not Spoken</w:t>
      </w:r>
    </w:p>
    <w:p>
      <w:pPr>
        <w:pStyle w:val="ListBullet"/>
        <w:spacing w:after="60" w:line="252" w:lineRule="auto"/>
      </w:pPr>
      <w:r>
        <w:rPr>
          <w:sz w:val="20"/>
        </w:rPr>
        <w:t>This is the current-roadmap Video 6. Earlier production files labeled this topic Video 5; that numbering is now superseded.</w:t>
      </w:r>
    </w:p>
    <w:p>
      <w:pPr>
        <w:pStyle w:val="ListBullet"/>
        <w:spacing w:after="60" w:line="252" w:lineRule="auto"/>
      </w:pPr>
      <w:r>
        <w:rPr>
          <w:sz w:val="20"/>
        </w:rPr>
        <w:t>The revised opening now begins with a stronger risk frame: an internal move can look safe because the logo does not change.</w:t>
      </w:r>
    </w:p>
    <w:p>
      <w:pPr>
        <w:pStyle w:val="ListBullet"/>
        <w:spacing w:after="60" w:line="252" w:lineRule="auto"/>
      </w:pPr>
      <w:r>
        <w:rPr>
          <w:sz w:val="20"/>
        </w:rPr>
        <w:t>The mechanism and promise land immediately: different work, expanded judgment, evidence that travels.</w:t>
      </w:r>
    </w:p>
    <w:p>
      <w:pPr>
        <w:pStyle w:val="ListBullet"/>
        <w:spacing w:after="60" w:line="252" w:lineRule="auto"/>
      </w:pPr>
      <w:r>
        <w:rPr>
          <w:sz w:val="20"/>
        </w:rPr>
        <w:t>The video is not an argument for staying. It is a decision tool for reading whether the current organization can still give access to useful new work.</w:t>
      </w:r>
    </w:p>
    <w:p>
      <w:pPr>
        <w:pStyle w:val="ListBullet"/>
        <w:spacing w:after="60" w:line="252" w:lineRule="auto"/>
      </w:pPr>
      <w:r>
        <w:rPr>
          <w:sz w:val="20"/>
        </w:rPr>
        <w:t>Use one product route only: the free Career Decision Evidence Check. No Field Kit, Keep the Proof, book, or workshop CTA.</w:t>
      </w:r>
    </w:p>
    <w:p>
      <w:pPr>
        <w:pStyle w:val="ListBullet"/>
        <w:spacing w:after="60" w:line="252" w:lineRule="auto"/>
      </w:pPr>
      <w:r>
        <w:rPr>
          <w:sz w:val="20"/>
        </w:rPr>
        <w:t>The ending hands directly to Video 7, where more responsibility is tested against actual growth.</w:t>
      </w:r>
    </w:p>
    <w:p>
      <w:pPr>
        <w:pStyle w:val="Heading1"/>
        <w:spacing w:before="160" w:after="80"/>
      </w:pPr>
      <w:r>
        <w:rPr>
          <w:b/>
          <w:color w:val="112A4B"/>
        </w:rPr>
        <w:t>Factual and Editorial Boundaries - Not Spoken</w:t>
      </w:r>
    </w:p>
    <w:p>
      <w:pPr>
        <w:pStyle w:val="ListBullet"/>
        <w:spacing w:after="60" w:line="252" w:lineRule="auto"/>
      </w:pPr>
      <w:r>
        <w:rPr>
          <w:sz w:val="20"/>
        </w:rPr>
        <w:t>Personal proof is deliberately bounded: in one career chapter, Temidayo's scope expanded after roughly six months and people trusted her with work beyond the original box. Do not infer the employer, assignment, quotation, or result.</w:t>
      </w:r>
    </w:p>
    <w:p>
      <w:pPr>
        <w:pStyle w:val="ListBullet"/>
        <w:spacing w:after="60" w:line="252" w:lineRule="auto"/>
      </w:pPr>
      <w:r>
        <w:rPr>
          <w:sz w:val="20"/>
        </w:rPr>
        <w:t>Do not imply that an internal move is always preferable, safer, or easier than an external move.</w:t>
      </w:r>
    </w:p>
    <w:p>
      <w:pPr>
        <w:pStyle w:val="ListBullet"/>
        <w:spacing w:after="60" w:line="252" w:lineRule="auto"/>
      </w:pPr>
      <w:r>
        <w:rPr>
          <w:sz w:val="20"/>
        </w:rPr>
        <w:t>A title change, new manager, or longer task list does not automatically satisfy any of the three questions.</w:t>
      </w:r>
    </w:p>
    <w:p>
      <w:pPr>
        <w:pStyle w:val="ListBullet"/>
        <w:spacing w:after="60" w:line="252" w:lineRule="auto"/>
      </w:pPr>
      <w:r>
        <w:rPr>
          <w:sz w:val="20"/>
        </w:rPr>
        <w:t>Internal mobility can be constrained by current-manager control, existing reputation, compensation bands, organizational politics, and whether the company actually contains the work the person needs.</w:t>
      </w:r>
    </w:p>
    <w:p>
      <w:pPr>
        <w:pStyle w:val="ListBullet"/>
        <w:spacing w:after="60" w:line="252" w:lineRule="auto"/>
      </w:pPr>
      <w:r>
        <w:rPr>
          <w:sz w:val="20"/>
        </w:rPr>
        <w:t>Compensation, family needs, health, safety, benefits, immigration status, stability, energy, and timing can legitimately outweigh the developmental read.</w:t>
      </w:r>
    </w:p>
    <w:p>
      <w:pPr>
        <w:pStyle w:val="ListBullet"/>
        <w:spacing w:after="60" w:line="252" w:lineRule="auto"/>
      </w:pPr>
      <w:r>
        <w:rPr>
          <w:sz w:val="20"/>
        </w:rPr>
        <w:t>Never imply that framing can erase bias, age discrimination, missing credentials, weak labor markets, or genuine experience gaps.</w:t>
      </w:r>
    </w:p>
    <w:p>
      <w:pPr>
        <w:pStyle w:val="Heading1"/>
        <w:spacing w:before="160" w:after="80"/>
      </w:pPr>
      <w:r>
        <w:rPr>
          <w:b/>
          <w:color w:val="112A4B"/>
        </w:rPr>
        <w:t>Recording Script</w:t>
      </w:r>
    </w:p>
    <w:p>
      <w:pPr>
        <w:keepNext w:val="0"/>
        <w:spacing w:after="120" w:line="259" w:lineRule="auto"/>
      </w:pPr>
      <w:r>
        <w:rPr>
          <w:b w:val="0"/>
          <w:i/>
          <w:color w:val="666666"/>
          <w:sz w:val="18"/>
        </w:rPr>
        <w:t>Spoken copy begins below. Section labels are production markers and should not be spoken.</w:t>
      </w:r>
    </w:p>
    <w:p>
      <w:pPr>
        <w:spacing w:before="200" w:after="40"/>
      </w:pPr>
      <w:r>
        <w:rPr>
          <w:b/>
          <w:color w:val="B5833B"/>
          <w:sz w:val="20"/>
        </w:rPr>
        <w:t>HOOK</w:t>
      </w:r>
    </w:p>
    <w:p>
      <w:pPr>
        <w:keepNext w:val="0"/>
        <w:spacing w:after="100" w:line="259" w:lineRule="auto"/>
      </w:pPr>
      <w:r>
        <w:rPr>
          <w:b w:val="0"/>
          <w:i w:val="0"/>
        </w:rPr>
        <w:t>An internal move can look safe because the logo does not change.</w:t>
      </w:r>
    </w:p>
    <w:p>
      <w:pPr>
        <w:keepNext w:val="0"/>
        <w:spacing w:after="100" w:line="259" w:lineRule="auto"/>
      </w:pPr>
      <w:r>
        <w:rPr>
          <w:b w:val="0"/>
          <w:i w:val="0"/>
        </w:rPr>
        <w:t>That is exactly why it can fool you.</w:t>
      </w:r>
    </w:p>
    <w:p>
      <w:pPr>
        <w:keepNext w:val="0"/>
        <w:spacing w:after="100" w:line="259" w:lineRule="auto"/>
      </w:pPr>
      <w:r>
        <w:rPr>
          <w:b w:val="0"/>
          <w:i w:val="0"/>
        </w:rPr>
        <w:t>Same company.</w:t>
      </w:r>
    </w:p>
    <w:p>
      <w:pPr>
        <w:keepNext w:val="0"/>
        <w:spacing w:after="100" w:line="259" w:lineRule="auto"/>
      </w:pPr>
      <w:r>
        <w:rPr>
          <w:b w:val="0"/>
          <w:i w:val="0"/>
        </w:rPr>
        <w:t>Same systems.</w:t>
      </w:r>
    </w:p>
    <w:p>
      <w:pPr>
        <w:keepNext w:val="0"/>
        <w:spacing w:after="100" w:line="259" w:lineRule="auto"/>
      </w:pPr>
      <w:r>
        <w:rPr>
          <w:b w:val="0"/>
          <w:i w:val="0"/>
        </w:rPr>
        <w:t>Maybe a better title.</w:t>
      </w:r>
    </w:p>
    <w:p>
      <w:pPr>
        <w:keepNext w:val="0"/>
        <w:spacing w:after="100" w:line="259" w:lineRule="auto"/>
      </w:pPr>
      <w:r>
        <w:rPr>
          <w:b w:val="0"/>
          <w:i w:val="0"/>
        </w:rPr>
        <w:t>The question is not simply, "Am I leaving?"</w:t>
      </w:r>
    </w:p>
    <w:p>
      <w:pPr>
        <w:keepNext w:val="0"/>
        <w:spacing w:after="100" w:line="259" w:lineRule="auto"/>
      </w:pPr>
      <w:r>
        <w:rPr>
          <w:b w:val="0"/>
          <w:i w:val="0"/>
        </w:rPr>
        <w:t>The better question is, "Will this work build something new in me?"</w:t>
      </w:r>
    </w:p>
    <w:p>
      <w:pPr>
        <w:keepNext w:val="0"/>
        <w:spacing w:after="100" w:line="259" w:lineRule="auto"/>
      </w:pPr>
      <w:r>
        <w:rPr>
          <w:b w:val="0"/>
          <w:i w:val="0"/>
        </w:rPr>
        <w:t>Before you take an internal role, ask three questions:</w:t>
      </w:r>
    </w:p>
    <w:p>
      <w:pPr>
        <w:keepNext w:val="0"/>
        <w:spacing w:after="100" w:line="259" w:lineRule="auto"/>
      </w:pPr>
      <w:r>
        <w:rPr>
          <w:b w:val="0"/>
          <w:i w:val="0"/>
        </w:rPr>
        <w:t>Will the work change?</w:t>
      </w:r>
    </w:p>
    <w:p>
      <w:pPr>
        <w:keepNext w:val="0"/>
        <w:spacing w:after="100" w:line="259" w:lineRule="auto"/>
      </w:pPr>
      <w:r>
        <w:rPr>
          <w:b w:val="0"/>
          <w:i w:val="0"/>
        </w:rPr>
        <w:t>Will my judgment expand?</w:t>
      </w:r>
    </w:p>
    <w:p>
      <w:pPr>
        <w:keepNext w:val="0"/>
        <w:spacing w:after="100" w:line="259" w:lineRule="auto"/>
      </w:pPr>
      <w:r>
        <w:rPr>
          <w:b w:val="0"/>
          <w:i w:val="0"/>
        </w:rPr>
        <w:t>Will the evidence travel?</w:t>
      </w:r>
    </w:p>
    <w:p>
      <w:pPr>
        <w:keepNext w:val="0"/>
        <w:spacing w:after="100" w:line="259" w:lineRule="auto"/>
      </w:pPr>
      <w:r>
        <w:rPr>
          <w:b w:val="0"/>
          <w:i w:val="0"/>
        </w:rPr>
        <w:t>If you cannot answer those clearly, a new title may give you movement without giving you growth.</w:t>
      </w:r>
    </w:p>
    <w:p>
      <w:pPr>
        <w:spacing w:before="200" w:after="40"/>
      </w:pPr>
      <w:r>
        <w:rPr>
          <w:b/>
          <w:color w:val="B5833B"/>
          <w:sz w:val="20"/>
        </w:rPr>
        <w:t>WHY AN INTERNAL MOVE CAN BE A REAL CAREER MOVE</w:t>
      </w:r>
    </w:p>
    <w:p>
      <w:pPr>
        <w:keepNext w:val="0"/>
        <w:spacing w:after="100" w:line="259" w:lineRule="auto"/>
      </w:pPr>
      <w:r>
        <w:rPr>
          <w:b w:val="0"/>
          <w:i w:val="0"/>
        </w:rPr>
        <w:t>I am Temidayo Afonja. I help experienced professionals understand what their work has built in them, what travels when the context changes, and what still has to be learned.</w:t>
      </w:r>
    </w:p>
    <w:p>
      <w:pPr>
        <w:keepNext w:val="0"/>
        <w:spacing w:after="100" w:line="259" w:lineRule="auto"/>
      </w:pPr>
      <w:r>
        <w:rPr>
          <w:b w:val="0"/>
          <w:i w:val="0"/>
        </w:rPr>
        <w:t>Internal moves are easy to underestimate because the employer does not change. But your employer is only one part of the context. The work can change even when the company does not.</w:t>
      </w:r>
    </w:p>
    <w:p>
      <w:pPr>
        <w:keepNext w:val="0"/>
        <w:spacing w:after="100" w:line="259" w:lineRule="auto"/>
      </w:pPr>
      <w:r>
        <w:rPr>
          <w:b w:val="0"/>
          <w:i w:val="0"/>
        </w:rPr>
        <w:t>In one chapter of my own career, roughly six months in, the scope of my role expanded. The important part was not that more things appeared on my list. People began trusting me with work beyond the original box.</w:t>
      </w:r>
    </w:p>
    <w:p>
      <w:pPr>
        <w:keepNext w:val="0"/>
        <w:spacing w:after="100" w:line="259" w:lineRule="auto"/>
      </w:pPr>
      <w:r>
        <w:rPr>
          <w:b w:val="0"/>
          <w:i w:val="0"/>
        </w:rPr>
        <w:t>That experience gave me a more useful way to think about internal mobility. A meaningful internal move can be a new role, team, function, assignment, or scope. What matters is whether it changes what you are learning, deciding, and becoming able to prove.</w:t>
      </w:r>
    </w:p>
    <w:p>
      <w:pPr>
        <w:keepNext w:val="0"/>
        <w:spacing w:after="100" w:line="259" w:lineRule="auto"/>
      </w:pPr>
      <w:r>
        <w:rPr>
          <w:b w:val="0"/>
          <w:i w:val="0"/>
        </w:rPr>
        <w:t>There is a real advantage to doing that inside an organization you already know. You may already understand the systems, the language, the history, and some of the relationships. If the opportunity is well designed, that context becomes leverage. You can spend less energy learning how the organization works and more energy learning work you have not done before.</w:t>
      </w:r>
    </w:p>
    <w:p>
      <w:pPr>
        <w:keepNext w:val="0"/>
        <w:spacing w:after="100" w:line="259" w:lineRule="auto"/>
      </w:pPr>
      <w:r>
        <w:rPr>
          <w:b w:val="0"/>
          <w:i w:val="0"/>
        </w:rPr>
        <w:t>But familiarity can also hide a cosmetic move. So test the work, not the label.</w:t>
      </w:r>
    </w:p>
    <w:p>
      <w:pPr>
        <w:spacing w:before="200" w:after="40"/>
      </w:pPr>
      <w:r>
        <w:rPr>
          <w:b/>
          <w:color w:val="B5833B"/>
          <w:sz w:val="20"/>
        </w:rPr>
        <w:t>QUESTION 1: WILL THE WORK CHANGE?</w:t>
      </w:r>
    </w:p>
    <w:p>
      <w:pPr>
        <w:keepNext w:val="0"/>
        <w:spacing w:after="100" w:line="259" w:lineRule="auto"/>
      </w:pPr>
      <w:r>
        <w:rPr>
          <w:b w:val="0"/>
          <w:i w:val="0"/>
        </w:rPr>
        <w:t>Start with the most concrete question: What will actually be different on an ordinary Monday?</w:t>
      </w:r>
    </w:p>
    <w:p>
      <w:pPr>
        <w:keepNext w:val="0"/>
        <w:spacing w:after="100" w:line="259" w:lineRule="auto"/>
      </w:pPr>
      <w:r>
        <w:rPr>
          <w:b w:val="0"/>
          <w:i w:val="0"/>
        </w:rPr>
        <w:t>Do not start with the title. Do not start with whether the role sounds more senior. Ask what problems you will be close enough to understand, which systems you will learn, which stakeholders you will have to influence, and which part of the business will become visible from the new seat.</w:t>
      </w:r>
    </w:p>
    <w:p>
      <w:pPr>
        <w:keepNext w:val="0"/>
        <w:spacing w:after="100" w:line="259" w:lineRule="auto"/>
      </w:pPr>
      <w:r>
        <w:rPr>
          <w:b w:val="0"/>
          <w:i w:val="0"/>
        </w:rPr>
        <w:t>A move can be significant even if the title barely changes. If you move from one team to another and suddenly have to understand a different customer, operating model, regulation, or decision process, that can expand your range.</w:t>
      </w:r>
    </w:p>
    <w:p>
      <w:pPr>
        <w:keepNext w:val="0"/>
        <w:spacing w:after="100" w:line="259" w:lineRule="auto"/>
      </w:pPr>
      <w:r>
        <w:rPr>
          <w:b w:val="0"/>
          <w:i w:val="0"/>
        </w:rPr>
        <w:t>The reverse is also true. You can get a new title, a new manager, or a new team and still do almost exactly the same class of work. The nouns change, but the problems, tools, and expectations do not.</w:t>
      </w:r>
    </w:p>
    <w:p>
      <w:pPr>
        <w:keepNext w:val="0"/>
        <w:spacing w:after="100" w:line="259" w:lineRule="auto"/>
      </w:pPr>
      <w:r>
        <w:rPr>
          <w:b w:val="0"/>
          <w:i w:val="0"/>
        </w:rPr>
        <w:t>That move may still be worth taking for pay, flexibility, stability, or manager fit. Those are real reasons. Just do not call it career growth automatically.</w:t>
      </w:r>
    </w:p>
    <w:p>
      <w:pPr>
        <w:keepNext w:val="0"/>
        <w:spacing w:after="100" w:line="259" w:lineRule="auto"/>
      </w:pPr>
      <w:r>
        <w:rPr>
          <w:b w:val="0"/>
          <w:i w:val="0"/>
        </w:rPr>
        <w:t>Ask the internal hiring manager: What are the three most important problems this person will own in the first six months? What will I have to learn that I do not already know? Which parts of the organization will I understand differently because I held this role?</w:t>
      </w:r>
    </w:p>
    <w:p>
      <w:pPr>
        <w:keepNext w:val="0"/>
        <w:spacing w:after="100" w:line="259" w:lineRule="auto"/>
      </w:pPr>
      <w:r>
        <w:rPr>
          <w:b w:val="0"/>
          <w:i w:val="0"/>
        </w:rPr>
        <w:t>Listen for concrete work. Words like strategic, visible, and high impact sound attractive, but they do not tell you what you will actually become able to do.</w:t>
      </w:r>
    </w:p>
    <w:p>
      <w:pPr>
        <w:keepNext w:val="0"/>
        <w:spacing w:after="100" w:line="259" w:lineRule="auto"/>
      </w:pPr>
      <w:r>
        <w:rPr>
          <w:b w:val="0"/>
          <w:i w:val="0"/>
        </w:rPr>
        <w:t>If you cannot name the new problems, systems, stakeholders, or context, the first answer may be no.</w:t>
      </w:r>
    </w:p>
    <w:p>
      <w:pPr>
        <w:spacing w:before="200" w:after="40"/>
      </w:pPr>
      <w:r>
        <w:rPr>
          <w:b/>
          <w:color w:val="B5833B"/>
          <w:sz w:val="20"/>
        </w:rPr>
        <w:t>QUESTION 2: WILL YOUR JUDGMENT EXPAND?</w:t>
      </w:r>
    </w:p>
    <w:p>
      <w:pPr>
        <w:keepNext w:val="0"/>
        <w:spacing w:after="100" w:line="259" w:lineRule="auto"/>
      </w:pPr>
      <w:r>
        <w:rPr>
          <w:b w:val="0"/>
          <w:i w:val="0"/>
        </w:rPr>
        <w:t>The second question is not how much responsibility you will have. It is what you will be trusted to notice, weigh, recommend, or own.</w:t>
      </w:r>
    </w:p>
    <w:p>
      <w:pPr>
        <w:keepNext w:val="0"/>
        <w:spacing w:after="100" w:line="259" w:lineRule="auto"/>
      </w:pPr>
      <w:r>
        <w:rPr>
          <w:b w:val="0"/>
          <w:i w:val="0"/>
        </w:rPr>
        <w:t>This distinction matters because dependable people often get more responsibility before they get more judgment.</w:t>
      </w:r>
    </w:p>
    <w:p>
      <w:pPr>
        <w:keepNext w:val="0"/>
        <w:spacing w:after="100" w:line="259" w:lineRule="auto"/>
      </w:pPr>
      <w:r>
        <w:rPr>
          <w:b w:val="0"/>
          <w:i w:val="0"/>
        </w:rPr>
        <w:t>More tasks can mean volume, coordination, and absorption. More judgment means you have to interpret incomplete information, weigh tradeoffs, recommend a direction, influence people with different incentives, or own the consequence when the instructions stop being clear.</w:t>
      </w:r>
    </w:p>
    <w:p>
      <w:pPr>
        <w:keepNext w:val="0"/>
        <w:spacing w:after="100" w:line="259" w:lineRule="auto"/>
      </w:pPr>
      <w:r>
        <w:rPr>
          <w:b w:val="0"/>
          <w:i w:val="0"/>
        </w:rPr>
        <w:t>Preparing a report is work. Deciding which pattern in the report needs attention, explaining the consequence, and recommending what happens next is a different kind of work.</w:t>
      </w:r>
    </w:p>
    <w:p>
      <w:pPr>
        <w:keepNext w:val="0"/>
        <w:spacing w:after="100" w:line="259" w:lineRule="auto"/>
      </w:pPr>
      <w:r>
        <w:rPr>
          <w:b w:val="0"/>
          <w:i w:val="0"/>
        </w:rPr>
        <w:t>Scheduling a cross-functional meeting is work. Creating enough shared understanding for three functions with different incentives to make a decision requires different judgment.</w:t>
      </w:r>
    </w:p>
    <w:p>
      <w:pPr>
        <w:keepNext w:val="0"/>
        <w:spacing w:after="100" w:line="259" w:lineRule="auto"/>
      </w:pPr>
      <w:r>
        <w:rPr>
          <w:b w:val="0"/>
          <w:i w:val="0"/>
        </w:rPr>
        <w:t>Neither operational task is unimportant. The question is what the work is training you to do when the next situation is not identical to the last one.</w:t>
      </w:r>
    </w:p>
    <w:p>
      <w:pPr>
        <w:keepNext w:val="0"/>
        <w:spacing w:after="100" w:line="259" w:lineRule="auto"/>
      </w:pPr>
      <w:r>
        <w:rPr>
          <w:b w:val="0"/>
          <w:i w:val="0"/>
        </w:rPr>
        <w:t>So ask: Which decisions belong to this role? Where will I be expected to make a recommendation rather than only provide information? What outcome will still be mine when the instructions are incomplete?</w:t>
      </w:r>
    </w:p>
    <w:p>
      <w:pPr>
        <w:keepNext w:val="0"/>
        <w:spacing w:after="100" w:line="259" w:lineRule="auto"/>
      </w:pPr>
      <w:r>
        <w:rPr>
          <w:b w:val="0"/>
          <w:i w:val="0"/>
        </w:rPr>
        <w:t>Also ask about authority. If you will be accountable for an outcome but unable to influence the decisions, priorities, resources, or people that produce it, the role may be giving you exposure without enough ownership.</w:t>
      </w:r>
    </w:p>
    <w:p>
      <w:pPr>
        <w:keepNext w:val="0"/>
        <w:spacing w:after="100" w:line="259" w:lineRule="auto"/>
      </w:pPr>
      <w:r>
        <w:rPr>
          <w:b w:val="0"/>
          <w:i w:val="0"/>
        </w:rPr>
        <w:t>If the answer is simply, "You will have more to manage," keep investigating.</w:t>
      </w:r>
    </w:p>
    <w:p>
      <w:pPr>
        <w:spacing w:before="200" w:after="40"/>
      </w:pPr>
      <w:r>
        <w:rPr>
          <w:b/>
          <w:color w:val="B5833B"/>
          <w:sz w:val="20"/>
        </w:rPr>
        <w:t>QUESTION 3: WILL THE EVIDENCE TRAVEL?</w:t>
      </w:r>
    </w:p>
    <w:p>
      <w:pPr>
        <w:keepNext w:val="0"/>
        <w:spacing w:after="100" w:line="259" w:lineRule="auto"/>
      </w:pPr>
      <w:r>
        <w:rPr>
          <w:b w:val="0"/>
          <w:i w:val="0"/>
        </w:rPr>
        <w:t>The third question is whether the move will produce evidence you can explain outside the organization.</w:t>
      </w:r>
    </w:p>
    <w:p>
      <w:pPr>
        <w:keepNext w:val="0"/>
        <w:spacing w:after="100" w:line="259" w:lineRule="auto"/>
      </w:pPr>
      <w:r>
        <w:rPr>
          <w:b w:val="0"/>
          <w:i w:val="0"/>
        </w:rPr>
        <w:t>Internal credibility can become very powerful inside one company and almost invisible outside it. Everybody may know you are the person who can get something done, but another employer does not inherit that reputation with you.</w:t>
      </w:r>
    </w:p>
    <w:p>
      <w:pPr>
        <w:keepNext w:val="0"/>
        <w:spacing w:after="100" w:line="259" w:lineRule="auto"/>
      </w:pPr>
      <w:r>
        <w:rPr>
          <w:b w:val="0"/>
          <w:i w:val="0"/>
        </w:rPr>
        <w:t>Portable evidence does not mean taking confidential material. It means being able to explain the problem, your role, the judgment you used, and the permitted result in language that makes sense without the internal acronyms, relationships, or history.</w:t>
      </w:r>
    </w:p>
    <w:p>
      <w:pPr>
        <w:keepNext w:val="0"/>
        <w:spacing w:after="100" w:line="259" w:lineRule="auto"/>
      </w:pPr>
      <w:r>
        <w:rPr>
          <w:b w:val="0"/>
          <w:i w:val="0"/>
        </w:rPr>
        <w:t>I would look for three kinds of evidence: result, judgment, and range.</w:t>
      </w:r>
    </w:p>
    <w:p>
      <w:pPr>
        <w:keepNext w:val="0"/>
        <w:spacing w:after="100" w:line="259" w:lineRule="auto"/>
      </w:pPr>
      <w:r>
        <w:rPr>
          <w:b w:val="0"/>
          <w:i w:val="0"/>
        </w:rPr>
        <w:t>Result: what changed, improved, stabilized, accelerated, or became possible? Judgment: what did you notice, weigh, recommend, or decide? Range: what new context, stakeholder group, system, or problem can you now handle?</w:t>
      </w:r>
    </w:p>
    <w:p>
      <w:pPr>
        <w:keepNext w:val="0"/>
        <w:spacing w:after="100" w:line="259" w:lineRule="auto"/>
      </w:pPr>
      <w:r>
        <w:rPr>
          <w:b w:val="0"/>
          <w:i w:val="0"/>
        </w:rPr>
        <w:t>The strongest internal moves give you something you can eventually say like this: "I entered a new context. I was trusted to make this kind of judgment. Here is what changed."</w:t>
      </w:r>
    </w:p>
    <w:p>
      <w:pPr>
        <w:keepNext w:val="0"/>
        <w:spacing w:after="100" w:line="259" w:lineRule="auto"/>
      </w:pPr>
      <w:r>
        <w:rPr>
          <w:b w:val="0"/>
          <w:i w:val="0"/>
        </w:rPr>
        <w:t>Before you accept the opportunity, ask: How is success measured? What would a strong first year allow me to point to? Which outcomes would I own rather than merely support?</w:t>
      </w:r>
    </w:p>
    <w:p>
      <w:pPr>
        <w:keepNext w:val="0"/>
        <w:spacing w:after="100" w:line="259" w:lineRule="auto"/>
      </w:pPr>
      <w:r>
        <w:rPr>
          <w:b w:val="0"/>
          <w:i w:val="0"/>
        </w:rPr>
        <w:t>If the opportunity can only be explained through company language, translate it before you decide. If you cannot explain what the work could prove, you may not yet understand what the move is really offering.</w:t>
      </w:r>
    </w:p>
    <w:p>
      <w:pPr>
        <w:spacing w:before="200" w:after="40"/>
      </w:pPr>
      <w:r>
        <w:rPr>
          <w:b/>
          <w:color w:val="B5833B"/>
          <w:sz w:val="20"/>
        </w:rPr>
        <w:t>READ THE THREE ANSWERS</w:t>
      </w:r>
    </w:p>
    <w:p>
      <w:pPr>
        <w:keepNext w:val="0"/>
        <w:spacing w:after="100" w:line="259" w:lineRule="auto"/>
      </w:pPr>
      <w:r>
        <w:rPr>
          <w:b w:val="0"/>
          <w:i w:val="0"/>
        </w:rPr>
        <w:t>Now put the three answers together.</w:t>
      </w:r>
    </w:p>
    <w:p>
      <w:pPr>
        <w:keepNext w:val="0"/>
        <w:spacing w:after="100" w:line="259" w:lineRule="auto"/>
      </w:pPr>
      <w:r>
        <w:rPr>
          <w:b w:val="0"/>
          <w:i w:val="0"/>
        </w:rPr>
        <w:t>If all three are yes, different work, expanded judgment, and evidence that travels, you have a strong growth case. That does not mean the move is automatically right, but the developmental value is visible.</w:t>
      </w:r>
    </w:p>
    <w:p>
      <w:pPr>
        <w:keepNext w:val="0"/>
        <w:spacing w:after="100" w:line="259" w:lineRule="auto"/>
      </w:pPr>
      <w:r>
        <w:rPr>
          <w:b w:val="0"/>
          <w:i w:val="0"/>
        </w:rPr>
        <w:t>If two are yes, identify the missing dimension and investigate whether it can be designed into the role. Maybe the work is new and the evidence could be strong, but the decision authority is vague. That is not an automatic no. It is a negotiation question.</w:t>
      </w:r>
    </w:p>
    <w:p>
      <w:pPr>
        <w:keepNext w:val="0"/>
        <w:spacing w:after="100" w:line="259" w:lineRule="auto"/>
      </w:pPr>
      <w:r>
        <w:rPr>
          <w:b w:val="0"/>
          <w:i w:val="0"/>
        </w:rPr>
        <w:t>If zero or one is yes, the opportunity may be movement without much growth. It may still be the right choice for compensation, flexibility, stability, a better manager, or another reason that matters in your real life. Just be accurate about what the work is giving you.</w:t>
      </w:r>
    </w:p>
    <w:p>
      <w:pPr>
        <w:keepNext w:val="0"/>
        <w:spacing w:after="100" w:line="259" w:lineRule="auto"/>
      </w:pPr>
      <w:r>
        <w:rPr>
          <w:b w:val="0"/>
          <w:i w:val="0"/>
        </w:rPr>
        <w:t>And do not assume the external option wins because it is outside. A new employer can give you a new logo and the same work. Compare the actual access to different work, stronger judgment, and clearer evidence.</w:t>
      </w:r>
    </w:p>
    <w:p>
      <w:pPr>
        <w:spacing w:before="200" w:after="40"/>
      </w:pPr>
      <w:r>
        <w:rPr>
          <w:b/>
          <w:color w:val="B5833B"/>
          <w:sz w:val="20"/>
        </w:rPr>
        <w:t>WHAT THIS TEST CANNOT SOLVE</w:t>
      </w:r>
    </w:p>
    <w:p>
      <w:pPr>
        <w:keepNext w:val="0"/>
        <w:spacing w:after="100" w:line="259" w:lineRule="auto"/>
      </w:pPr>
      <w:r>
        <w:rPr>
          <w:b w:val="0"/>
          <w:i w:val="0"/>
        </w:rPr>
        <w:t>There are times when an internal move will not solve the real problem.</w:t>
      </w:r>
    </w:p>
    <w:p>
      <w:pPr>
        <w:keepNext w:val="0"/>
        <w:spacing w:after="100" w:line="259" w:lineRule="auto"/>
      </w:pPr>
      <w:r>
        <w:rPr>
          <w:b w:val="0"/>
          <w:i w:val="0"/>
        </w:rPr>
        <w:t>Your company may not contain the work you need. Your current manager may control access to internal opportunities. An old reputation may follow you into the next team. Compensation or title bands may not move enough. The organization may simply keep seeing you through the role you already perform.</w:t>
      </w:r>
    </w:p>
    <w:p>
      <w:pPr>
        <w:keepNext w:val="0"/>
        <w:spacing w:after="100" w:line="259" w:lineRule="auto"/>
      </w:pPr>
      <w:r>
        <w:rPr>
          <w:b w:val="0"/>
          <w:i w:val="0"/>
        </w:rPr>
        <w:t>Bias and age discrimination can also shape who gets access to opportunities. A three-question framework does not make those realities disappear.</w:t>
      </w:r>
    </w:p>
    <w:p>
      <w:pPr>
        <w:keepNext w:val="0"/>
        <w:spacing w:after="100" w:line="259" w:lineRule="auto"/>
      </w:pPr>
      <w:r>
        <w:rPr>
          <w:b w:val="0"/>
          <w:i w:val="0"/>
        </w:rPr>
        <w:t>And if the environment is harming your health or safety, or you are dealing with harassment, discrimination, or another urgent threat, you do not need to perfect an internal-mobility strategy before protecting yourself and getting appropriate support.</w:t>
      </w:r>
    </w:p>
    <w:p>
      <w:pPr>
        <w:keepNext w:val="0"/>
        <w:spacing w:after="100" w:line="259" w:lineRule="auto"/>
      </w:pPr>
      <w:r>
        <w:rPr>
          <w:b w:val="0"/>
          <w:i w:val="0"/>
        </w:rPr>
        <w:t>Career decisions also sit inside real lives. Compensation, caregiving, benefits, immigration status, energy, stability, and timing can legitimately outweigh the developmental case.</w:t>
      </w:r>
    </w:p>
    <w:p>
      <w:pPr>
        <w:keepNext w:val="0"/>
        <w:spacing w:after="100" w:line="259" w:lineRule="auto"/>
      </w:pPr>
      <w:r>
        <w:rPr>
          <w:b w:val="0"/>
          <w:i w:val="0"/>
        </w:rPr>
        <w:t>These three questions read the work. They do not replace the rest of the decision.</w:t>
      </w:r>
    </w:p>
    <w:p>
      <w:pPr>
        <w:spacing w:before="200" w:after="40"/>
      </w:pPr>
      <w:r>
        <w:rPr>
          <w:b/>
          <w:color w:val="B5833B"/>
          <w:sz w:val="20"/>
        </w:rPr>
        <w:t>ONE NEXT STEP + CTA</w:t>
      </w:r>
    </w:p>
    <w:p>
      <w:pPr>
        <w:keepNext w:val="0"/>
        <w:spacing w:after="100" w:line="259" w:lineRule="auto"/>
      </w:pPr>
      <w:r>
        <w:rPr>
          <w:b w:val="0"/>
          <w:i w:val="0"/>
        </w:rPr>
        <w:t>Before your next internal conversation, write one sentence under each question.</w:t>
      </w:r>
    </w:p>
    <w:p>
      <w:pPr>
        <w:keepNext w:val="0"/>
        <w:spacing w:after="100" w:line="259" w:lineRule="auto"/>
      </w:pPr>
      <w:r>
        <w:rPr>
          <w:b w:val="0"/>
          <w:i w:val="0"/>
        </w:rPr>
        <w:t>What different work will I enter? What judgment will I be trusted to carry? What evidence could I explain a year from now?</w:t>
      </w:r>
    </w:p>
    <w:p>
      <w:pPr>
        <w:keepNext w:val="0"/>
        <w:spacing w:after="100" w:line="259" w:lineRule="auto"/>
      </w:pPr>
      <w:r>
        <w:rPr>
          <w:b w:val="0"/>
          <w:i w:val="0"/>
        </w:rPr>
        <w:t>If you are actively deciding whether to stay, move internally, or leave, the free Career Decision Evidence Check gives you a structured way to read the evidence behind that choice. It is linked below.</w:t>
      </w:r>
    </w:p>
    <w:p>
      <w:pPr>
        <w:spacing w:before="200" w:after="40"/>
      </w:pPr>
      <w:r>
        <w:rPr>
          <w:b/>
          <w:color w:val="B5833B"/>
          <w:sz w:val="20"/>
        </w:rPr>
        <w:t>WATCH NEXT</w:t>
      </w:r>
    </w:p>
    <w:p>
      <w:pPr>
        <w:keepNext w:val="0"/>
        <w:spacing w:after="100" w:line="259" w:lineRule="auto"/>
      </w:pPr>
      <w:r>
        <w:rPr>
          <w:b w:val="0"/>
          <w:i w:val="0"/>
        </w:rPr>
        <w:t>And before you call any opportunity growth, there is one more distinction you need to make.</w:t>
      </w:r>
    </w:p>
    <w:p>
      <w:pPr>
        <w:keepNext w:val="0"/>
        <w:spacing w:after="100" w:line="259" w:lineRule="auto"/>
      </w:pPr>
      <w:r>
        <w:rPr>
          <w:b w:val="0"/>
          <w:i w:val="0"/>
        </w:rPr>
        <w:t>More responsibility can mean you are growing. It can also mean the organization has learned that you will absorb more.</w:t>
      </w:r>
    </w:p>
    <w:p>
      <w:pPr>
        <w:keepNext w:val="0"/>
        <w:spacing w:after="100" w:line="259" w:lineRule="auto"/>
      </w:pPr>
      <w:r>
        <w:rPr>
          <w:b w:val="0"/>
          <w:i w:val="0"/>
        </w:rPr>
        <w:t>That is what we are testing next in Are You Growing, or Just Being Given More Work?</w:t>
      </w:r>
    </w:p>
    <w:p>
      <w:pPr>
        <w:keepNext w:val="0"/>
        <w:spacing w:after="100" w:line="259" w:lineRule="auto"/>
      </w:pPr>
      <w:r>
        <w:rPr>
          <w:b w:val="0"/>
          <w:i w:val="0"/>
        </w:rPr>
        <w:t>You may not need to leave. But the work does need to change.</w:t>
      </w:r>
    </w:p>
    <w:p>
      <w:pPr>
        <w:pStyle w:val="Heading1"/>
        <w:spacing w:before="160" w:after="80"/>
      </w:pPr>
      <w:r>
        <w:rPr>
          <w:b/>
          <w:color w:val="112A4B"/>
        </w:rPr>
        <w:t>Major Visual / Motion-Graphic Map</w:t>
      </w:r>
    </w:p>
    <w:p>
      <w:pPr>
        <w:keepNext w:val="0"/>
        <w:spacing w:after="120" w:line="259" w:lineRule="auto"/>
      </w:pPr>
      <w:r>
        <w:rPr>
          <w:b w:val="0"/>
          <w:i w:val="0"/>
          <w:color w:val="555555"/>
          <w:sz w:val="18"/>
        </w:rPr>
        <w:t>Use approximately 6-8 major full-screen teaching visuals. These are reference frames for Riverside / Claude Code, not a presentation deck. Short callouts may appear over Temidayo, but frameworks and comparisons must be true full-screen graphics.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12A4B"/>
          </w:tcPr>
          <w:p>
            <w:pPr>
              <w:spacing w:after="0"/>
            </w:pPr>
            <w:r/>
            <w:r>
              <w:rPr>
                <w:b/>
                <w:color w:val="FFFFFF"/>
                <w:sz w:val="17"/>
              </w:rPr>
              <w:t>#</w:t>
            </w:r>
          </w:p>
        </w:tc>
        <w:tc>
          <w:tcPr>
            <w:tcW w:type="dxa" w:w="2592"/>
            <w:shd w:fill="112A4B"/>
          </w:tcPr>
          <w:p>
            <w:pPr>
              <w:spacing w:after="0"/>
            </w:pPr>
            <w:r/>
            <w:r>
              <w:rPr>
                <w:b/>
                <w:color w:val="FFFFFF"/>
                <w:sz w:val="17"/>
              </w:rPr>
              <w:t>Visual job</w:t>
            </w:r>
          </w:p>
        </w:tc>
        <w:tc>
          <w:tcPr>
            <w:tcW w:type="dxa" w:w="2592"/>
            <w:shd w:fill="112A4B"/>
          </w:tcPr>
          <w:p>
            <w:pPr>
              <w:spacing w:after="0"/>
            </w:pPr>
            <w:r/>
            <w:r>
              <w:rPr>
                <w:b/>
                <w:color w:val="FFFFFF"/>
                <w:sz w:val="17"/>
              </w:rPr>
              <w:t>Exact on-screen idea</w:t>
            </w:r>
          </w:p>
        </w:tc>
        <w:tc>
          <w:tcPr>
            <w:tcW w:type="dxa" w:w="2592"/>
            <w:shd w:fill="112A4B"/>
          </w:tcPr>
          <w:p>
            <w:pPr>
              <w:spacing w:after="0"/>
            </w:pPr>
            <w:r/>
            <w:r>
              <w:rPr>
                <w:b/>
                <w:color w:val="FFFFFF"/>
                <w:sz w:val="17"/>
              </w:rPr>
              <w:t>Treatment</w:t>
            </w:r>
          </w:p>
        </w:tc>
      </w:tr>
      <w:tr>
        <w:tc>
          <w:tcPr>
            <w:tcW w:type="dxa" w:w="504"/>
          </w:tcPr>
          <w:p>
            <w:pPr>
              <w:spacing w:after="0"/>
            </w:pPr>
            <w:r/>
            <w:r>
              <w:rPr>
                <w:b w:val="0"/>
                <w:sz w:val="16"/>
              </w:rPr>
              <w:t>1</w:t>
            </w:r>
          </w:p>
        </w:tc>
        <w:tc>
          <w:tcPr>
            <w:tcW w:type="dxa" w:w="2592"/>
          </w:tcPr>
          <w:p>
            <w:pPr>
              <w:spacing w:after="0"/>
            </w:pPr>
            <w:r/>
            <w:r>
              <w:rPr>
                <w:b w:val="0"/>
                <w:sz w:val="16"/>
              </w:rPr>
              <w:t>Opening distinction</w:t>
            </w:r>
          </w:p>
        </w:tc>
        <w:tc>
          <w:tcPr>
            <w:tcW w:type="dxa" w:w="2592"/>
          </w:tcPr>
          <w:p>
            <w:pPr>
              <w:spacing w:after="0"/>
            </w:pPr>
            <w:r/>
            <w:r>
              <w:rPr>
                <w:b w:val="0"/>
                <w:sz w:val="16"/>
              </w:rPr>
              <w:t>NEW TITLE, SAME WORK?</w:t>
              <w:br/>
              <w:t>Same company does not automatically mean useful growth.</w:t>
            </w:r>
          </w:p>
        </w:tc>
        <w:tc>
          <w:tcPr>
            <w:tcW w:type="dxa" w:w="2592"/>
          </w:tcPr>
          <w:p>
            <w:pPr>
              <w:spacing w:after="0"/>
            </w:pPr>
            <w:r/>
            <w:r>
              <w:rPr>
                <w:b w:val="0"/>
                <w:sz w:val="16"/>
              </w:rPr>
              <w:t>True full-screen motion graphic after the hook. Gentle reveal. Captions off. Soft whoosh.</w:t>
            </w:r>
          </w:p>
        </w:tc>
      </w:tr>
      <w:tr>
        <w:tc>
          <w:tcPr>
            <w:tcW w:type="dxa" w:w="504"/>
          </w:tcPr>
          <w:p>
            <w:pPr>
              <w:spacing w:after="0"/>
            </w:pPr>
            <w:r/>
            <w:r>
              <w:rPr>
                <w:b w:val="0"/>
                <w:sz w:val="16"/>
              </w:rPr>
              <w:t>2</w:t>
            </w:r>
          </w:p>
        </w:tc>
        <w:tc>
          <w:tcPr>
            <w:tcW w:type="dxa" w:w="2592"/>
          </w:tcPr>
          <w:p>
            <w:pPr>
              <w:spacing w:after="0"/>
            </w:pPr>
            <w:r/>
            <w:r>
              <w:rPr>
                <w:b w:val="0"/>
                <w:sz w:val="16"/>
              </w:rPr>
              <w:t>Three-question framework</w:t>
            </w:r>
          </w:p>
        </w:tc>
        <w:tc>
          <w:tcPr>
            <w:tcW w:type="dxa" w:w="2592"/>
          </w:tcPr>
          <w:p>
            <w:pPr>
              <w:spacing w:after="0"/>
            </w:pPr>
            <w:r/>
            <w:r>
              <w:rPr>
                <w:b w:val="0"/>
                <w:sz w:val="16"/>
              </w:rPr>
              <w:t>1 WILL THE WORK CHANGE?</w:t>
              <w:br/>
              <w:t>2 WILL YOUR JUDGMENT EXPAND?</w:t>
              <w:br/>
              <w:t>3 WILL THE EVIDENCE TRAVEL?</w:t>
            </w:r>
          </w:p>
        </w:tc>
        <w:tc>
          <w:tcPr>
            <w:tcW w:type="dxa" w:w="2592"/>
          </w:tcPr>
          <w:p>
            <w:pPr>
              <w:spacing w:after="0"/>
            </w:pPr>
            <w:r/>
            <w:r>
              <w:rPr>
                <w:b w:val="0"/>
                <w:sz w:val="16"/>
              </w:rPr>
              <w:t>True full-screen. Reveal one question at a time. Hold complete set.</w:t>
            </w:r>
          </w:p>
        </w:tc>
      </w:tr>
      <w:tr>
        <w:tc>
          <w:tcPr>
            <w:tcW w:type="dxa" w:w="504"/>
          </w:tcPr>
          <w:p>
            <w:pPr>
              <w:spacing w:after="0"/>
            </w:pPr>
            <w:r/>
            <w:r>
              <w:rPr>
                <w:b w:val="0"/>
                <w:sz w:val="16"/>
              </w:rPr>
              <w:t>3</w:t>
            </w:r>
          </w:p>
        </w:tc>
        <w:tc>
          <w:tcPr>
            <w:tcW w:type="dxa" w:w="2592"/>
          </w:tcPr>
          <w:p>
            <w:pPr>
              <w:spacing w:after="0"/>
            </w:pPr>
            <w:r/>
            <w:r>
              <w:rPr>
                <w:b w:val="0"/>
                <w:sz w:val="16"/>
              </w:rPr>
              <w:t>Question 1</w:t>
            </w:r>
          </w:p>
        </w:tc>
        <w:tc>
          <w:tcPr>
            <w:tcW w:type="dxa" w:w="2592"/>
          </w:tcPr>
          <w:p>
            <w:pPr>
              <w:spacing w:after="0"/>
            </w:pPr>
            <w:r/>
            <w:r>
              <w:rPr>
                <w:b w:val="0"/>
                <w:sz w:val="16"/>
              </w:rPr>
              <w:t>WHAT WILL BE DIFFERENT ON AN ORDINARY MONDAY?</w:t>
              <w:br/>
              <w:t>Problems; Systems; Stakeholders; Context</w:t>
            </w:r>
          </w:p>
        </w:tc>
        <w:tc>
          <w:tcPr>
            <w:tcW w:type="dxa" w:w="2592"/>
          </w:tcPr>
          <w:p>
            <w:pPr>
              <w:spacing w:after="0"/>
            </w:pPr>
            <w:r/>
            <w:r>
              <w:rPr>
                <w:b w:val="0"/>
                <w:sz w:val="16"/>
              </w:rPr>
              <w:t>Full-screen section graphic, then return to camera.</w:t>
            </w:r>
          </w:p>
        </w:tc>
      </w:tr>
      <w:tr>
        <w:tc>
          <w:tcPr>
            <w:tcW w:type="dxa" w:w="504"/>
          </w:tcPr>
          <w:p>
            <w:pPr>
              <w:spacing w:after="0"/>
            </w:pPr>
            <w:r/>
            <w:r>
              <w:rPr>
                <w:b w:val="0"/>
                <w:sz w:val="16"/>
              </w:rPr>
              <w:t>4</w:t>
            </w:r>
          </w:p>
        </w:tc>
        <w:tc>
          <w:tcPr>
            <w:tcW w:type="dxa" w:w="2592"/>
          </w:tcPr>
          <w:p>
            <w:pPr>
              <w:spacing w:after="0"/>
            </w:pPr>
            <w:r/>
            <w:r>
              <w:rPr>
                <w:b w:val="0"/>
                <w:sz w:val="16"/>
              </w:rPr>
              <w:t>Tasks vs judgment</w:t>
            </w:r>
          </w:p>
        </w:tc>
        <w:tc>
          <w:tcPr>
            <w:tcW w:type="dxa" w:w="2592"/>
          </w:tcPr>
          <w:p>
            <w:pPr>
              <w:spacing w:after="0"/>
            </w:pPr>
            <w:r/>
            <w:r>
              <w:rPr>
                <w:b w:val="0"/>
                <w:sz w:val="16"/>
              </w:rPr>
              <w:t>MORE TASKS</w:t>
              <w:br/>
              <w:t>Volume; Coordination; Absorption</w:t>
              <w:br/>
              <w:br/>
              <w:t>MORE JUDGMENT</w:t>
              <w:br/>
              <w:t>Interpretation; Tradeoffs; Consequence</w:t>
            </w:r>
          </w:p>
        </w:tc>
        <w:tc>
          <w:tcPr>
            <w:tcW w:type="dxa" w:w="2592"/>
          </w:tcPr>
          <w:p>
            <w:pPr>
              <w:spacing w:after="0"/>
            </w:pPr>
            <w:r/>
            <w:r>
              <w:rPr>
                <w:b w:val="0"/>
                <w:sz w:val="16"/>
              </w:rPr>
              <w:t>True full-screen comparison. Reveal MORE JUDGMENT second. Restrained click or sweep.</w:t>
            </w:r>
          </w:p>
        </w:tc>
      </w:tr>
      <w:tr>
        <w:tc>
          <w:tcPr>
            <w:tcW w:type="dxa" w:w="504"/>
          </w:tcPr>
          <w:p>
            <w:pPr>
              <w:spacing w:after="0"/>
            </w:pPr>
            <w:r/>
            <w:r>
              <w:rPr>
                <w:b w:val="0"/>
                <w:sz w:val="16"/>
              </w:rPr>
              <w:t>5</w:t>
            </w:r>
          </w:p>
        </w:tc>
        <w:tc>
          <w:tcPr>
            <w:tcW w:type="dxa" w:w="2592"/>
          </w:tcPr>
          <w:p>
            <w:pPr>
              <w:spacing w:after="0"/>
            </w:pPr>
            <w:r/>
            <w:r>
              <w:rPr>
                <w:b w:val="0"/>
                <w:sz w:val="16"/>
              </w:rPr>
              <w:t>Portable evidence</w:t>
            </w:r>
          </w:p>
        </w:tc>
        <w:tc>
          <w:tcPr>
            <w:tcW w:type="dxa" w:w="2592"/>
          </w:tcPr>
          <w:p>
            <w:pPr>
              <w:spacing w:after="0"/>
            </w:pPr>
            <w:r/>
            <w:r>
              <w:rPr>
                <w:b w:val="0"/>
                <w:sz w:val="16"/>
              </w:rPr>
              <w:t>RESULT</w:t>
              <w:br/>
              <w:t>What changed?</w:t>
              <w:br/>
              <w:t>JUDGMENT</w:t>
              <w:br/>
              <w:t>What did you notice or decide?</w:t>
              <w:br/>
              <w:t>RANGE</w:t>
              <w:br/>
              <w:t>What new context can you now handle?</w:t>
            </w:r>
          </w:p>
        </w:tc>
        <w:tc>
          <w:tcPr>
            <w:tcW w:type="dxa" w:w="2592"/>
          </w:tcPr>
          <w:p>
            <w:pPr>
              <w:spacing w:after="0"/>
            </w:pPr>
            <w:r/>
            <w:r>
              <w:rPr>
                <w:b w:val="0"/>
                <w:sz w:val="16"/>
              </w:rPr>
              <w:t>True full-screen three-part reveal. Hold long enough to read.</w:t>
            </w:r>
          </w:p>
        </w:tc>
      </w:tr>
      <w:tr>
        <w:tc>
          <w:tcPr>
            <w:tcW w:type="dxa" w:w="504"/>
          </w:tcPr>
          <w:p>
            <w:pPr>
              <w:spacing w:after="0"/>
            </w:pPr>
            <w:r/>
            <w:r>
              <w:rPr>
                <w:b w:val="0"/>
                <w:sz w:val="16"/>
              </w:rPr>
              <w:t>6</w:t>
            </w:r>
          </w:p>
        </w:tc>
        <w:tc>
          <w:tcPr>
            <w:tcW w:type="dxa" w:w="2592"/>
          </w:tcPr>
          <w:p>
            <w:pPr>
              <w:spacing w:after="0"/>
            </w:pPr>
            <w:r/>
            <w:r>
              <w:rPr>
                <w:b w:val="0"/>
                <w:sz w:val="16"/>
              </w:rPr>
              <w:t>Decision read</w:t>
            </w:r>
          </w:p>
        </w:tc>
        <w:tc>
          <w:tcPr>
            <w:tcW w:type="dxa" w:w="2592"/>
          </w:tcPr>
          <w:p>
            <w:pPr>
              <w:spacing w:after="0"/>
            </w:pPr>
            <w:r/>
            <w:r>
              <w:rPr>
                <w:b w:val="0"/>
                <w:sz w:val="16"/>
              </w:rPr>
              <w:t>3 YES: Strong growth case</w:t>
              <w:br/>
              <w:t>2 YES: Investigate or negotiate</w:t>
              <w:br/>
              <w:t>0-1 YES: Movement, not much growth</w:t>
            </w:r>
          </w:p>
        </w:tc>
        <w:tc>
          <w:tcPr>
            <w:tcW w:type="dxa" w:w="2592"/>
          </w:tcPr>
          <w:p>
            <w:pPr>
              <w:spacing w:after="0"/>
            </w:pPr>
            <w:r/>
            <w:r>
              <w:rPr>
                <w:b w:val="0"/>
                <w:sz w:val="16"/>
              </w:rPr>
              <w:t>True full-screen sequential reveal. No scorecard gamification.</w:t>
            </w:r>
          </w:p>
        </w:tc>
      </w:tr>
      <w:tr>
        <w:tc>
          <w:tcPr>
            <w:tcW w:type="dxa" w:w="504"/>
          </w:tcPr>
          <w:p>
            <w:pPr>
              <w:spacing w:after="0"/>
            </w:pPr>
            <w:r/>
            <w:r>
              <w:rPr>
                <w:b w:val="0"/>
                <w:sz w:val="16"/>
              </w:rPr>
              <w:t>7</w:t>
            </w:r>
          </w:p>
        </w:tc>
        <w:tc>
          <w:tcPr>
            <w:tcW w:type="dxa" w:w="2592"/>
          </w:tcPr>
          <w:p>
            <w:pPr>
              <w:spacing w:after="0"/>
            </w:pPr>
            <w:r/>
            <w:r>
              <w:rPr>
                <w:b w:val="0"/>
                <w:sz w:val="16"/>
              </w:rPr>
              <w:t>Conversation prompts</w:t>
            </w:r>
          </w:p>
        </w:tc>
        <w:tc>
          <w:tcPr>
            <w:tcW w:type="dxa" w:w="2592"/>
          </w:tcPr>
          <w:p>
            <w:pPr>
              <w:spacing w:after="0"/>
            </w:pPr>
            <w:r/>
            <w:r>
              <w:rPr>
                <w:b w:val="0"/>
                <w:sz w:val="16"/>
              </w:rPr>
              <w:t>What problems will I own?</w:t>
              <w:br/>
              <w:t>Which decisions belong to me?</w:t>
              <w:br/>
              <w:t>How will success be measured?</w:t>
            </w:r>
          </w:p>
        </w:tc>
        <w:tc>
          <w:tcPr>
            <w:tcW w:type="dxa" w:w="2592"/>
          </w:tcPr>
          <w:p>
            <w:pPr>
              <w:spacing w:after="0"/>
            </w:pPr>
            <w:r/>
            <w:r>
              <w:rPr>
                <w:b w:val="0"/>
                <w:sz w:val="16"/>
              </w:rPr>
              <w:t>Full-screen progressive questions. Captions off.</w:t>
            </w:r>
          </w:p>
        </w:tc>
      </w:tr>
      <w:tr>
        <w:tc>
          <w:tcPr>
            <w:tcW w:type="dxa" w:w="504"/>
          </w:tcPr>
          <w:p>
            <w:pPr>
              <w:spacing w:after="0"/>
            </w:pPr>
            <w:r/>
            <w:r>
              <w:rPr>
                <w:b w:val="0"/>
                <w:sz w:val="16"/>
              </w:rPr>
              <w:t>8</w:t>
            </w:r>
          </w:p>
        </w:tc>
        <w:tc>
          <w:tcPr>
            <w:tcW w:type="dxa" w:w="2592"/>
          </w:tcPr>
          <w:p>
            <w:pPr>
              <w:spacing w:after="0"/>
            </w:pPr>
            <w:r/>
            <w:r>
              <w:rPr>
                <w:b w:val="0"/>
                <w:sz w:val="16"/>
              </w:rPr>
              <w:t>CTA / Watch Next</w:t>
            </w:r>
          </w:p>
        </w:tc>
        <w:tc>
          <w:tcPr>
            <w:tcW w:type="dxa" w:w="2592"/>
          </w:tcPr>
          <w:p>
            <w:pPr>
              <w:spacing w:after="0"/>
            </w:pPr>
            <w:r/>
            <w:r>
              <w:rPr>
                <w:b w:val="0"/>
                <w:sz w:val="16"/>
              </w:rPr>
              <w:t>CAREER DECISION EVIDENCE CHECK</w:t>
              <w:br/>
              <w:t>then</w:t>
              <w:br/>
              <w:t>ARE YOU GROWING, OR JUST BEING GIVEN MORE WORK?</w:t>
            </w:r>
          </w:p>
        </w:tc>
        <w:tc>
          <w:tcPr>
            <w:tcW w:type="dxa" w:w="2592"/>
          </w:tcPr>
          <w:p>
            <w:pPr>
              <w:spacing w:after="0"/>
            </w:pPr>
            <w:r/>
            <w:r>
              <w:rPr>
                <w:b w:val="0"/>
                <w:sz w:val="16"/>
              </w:rPr>
              <w:t>Two separate full-screen assets. Watch Next is final visual with clear end-screen space.</w:t>
            </w:r>
          </w:p>
        </w:tc>
      </w:tr>
    </w:tbl>
    <w:p>
      <w:pPr>
        <w:spacing w:after="80"/>
      </w:pPr>
    </w:p>
    <w:p>
      <w:pPr>
        <w:pStyle w:val="Heading1"/>
        <w:spacing w:before="160" w:after="80"/>
      </w:pPr>
      <w:r>
        <w:rPr>
          <w:b/>
          <w:color w:val="112A4B"/>
        </w:rPr>
        <w:t>Recording Close Checklist</w:t>
      </w:r>
    </w:p>
    <w:p>
      <w:pPr>
        <w:pStyle w:val="ListBullet"/>
        <w:spacing w:after="60" w:line="252" w:lineRule="auto"/>
      </w:pPr>
      <w:r>
        <w:rPr>
          <w:sz w:val="20"/>
        </w:rPr>
        <w:t>Record the complete CTA and Watch Next handoff before stopping.</w:t>
      </w:r>
    </w:p>
    <w:p>
      <w:pPr>
        <w:pStyle w:val="ListBullet"/>
        <w:spacing w:after="60" w:line="252" w:lineRule="auto"/>
      </w:pPr>
      <w:r>
        <w:rPr>
          <w:sz w:val="20"/>
        </w:rPr>
        <w:t>Do not return to camera after the final Watch Next visual in the edited video.</w:t>
      </w:r>
    </w:p>
    <w:p>
      <w:pPr>
        <w:pStyle w:val="ListBullet"/>
        <w:spacing w:after="60" w:line="252" w:lineRule="auto"/>
      </w:pPr>
      <w:r>
        <w:rPr>
          <w:sz w:val="20"/>
        </w:rPr>
        <w:t>Build final YouTube chapters from the actual export, not these script sections.</w:t>
      </w:r>
    </w:p>
    <w:p>
      <w:pPr>
        <w:pStyle w:val="ListBullet"/>
        <w:spacing w:after="60" w:line="252" w:lineRule="auto"/>
      </w:pPr>
      <w:r>
        <w:rPr>
          <w:sz w:val="20"/>
        </w:rPr>
        <w:t>Keep captions suppressed or simplified during full-screen framework graphics and Watch Next.</w:t>
      </w:r>
    </w:p>
    <w:p>
      <w:pPr>
        <w:pStyle w:val="ListBullet"/>
        <w:spacing w:after="60" w:line="252" w:lineRule="auto"/>
      </w:pPr>
      <w:r>
        <w:rPr>
          <w:sz w:val="20"/>
        </w:rPr>
        <w:t>Preserve natural pacing. Do not over-shorten thoughtful explanations in Riverside.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career-deci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