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Publishing Materials</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Title  </w:t>
      </w:r>
      <w:r>
        <w:rPr>
          <w:sz w:val="21"/>
        </w:rPr>
        <w:t>Before You Take an Internal Role, Ask These 3 Questions</w:t>
      </w:r>
    </w:p>
    <w:p>
      <w:pPr>
        <w:spacing w:after="80"/>
      </w:pPr>
      <w:r>
        <w:rPr>
          <w:b/>
          <w:color w:val="8A6D1E"/>
          <w:sz w:val="20"/>
        </w:rPr>
        <w:t xml:space="preserve">Active thumbnail  </w:t>
      </w:r>
      <w:r>
        <w:rPr>
          <w:sz w:val="21"/>
        </w:rPr>
        <w:t>NEW TITLE, SAME WORK?</w:t>
      </w:r>
    </w:p>
    <w:p>
      <w:pPr>
        <w:spacing w:after="80"/>
      </w:pPr>
      <w:r>
        <w:rPr>
          <w:b/>
          <w:color w:val="8A6D1E"/>
          <w:sz w:val="20"/>
        </w:rPr>
        <w:t xml:space="preserve">Opening identifier  </w:t>
      </w:r>
      <w:r>
        <w:rPr>
          <w:sz w:val="21"/>
        </w:rPr>
        <w:t>“You are offered an internal role.”</w:t>
      </w:r>
    </w:p>
    <w:p>
      <w:pPr>
        <w:spacing w:after="80"/>
      </w:pPr>
      <w:r>
        <w:rPr>
          <w:b/>
          <w:color w:val="8A6D1E"/>
          <w:sz w:val="20"/>
        </w:rPr>
        <w:t xml:space="preserve">Framework  </w:t>
      </w:r>
      <w:r>
        <w:rPr>
          <w:sz w:val="21"/>
        </w:rPr>
        <w:t>Work, Judgment, Evidence</w:t>
      </w:r>
    </w:p>
    <w:p>
      <w:pPr>
        <w:spacing w:after="80"/>
      </w:pPr>
      <w:r>
        <w:rPr>
          <w:b/>
          <w:color w:val="8A6D1E"/>
          <w:sz w:val="20"/>
        </w:rPr>
        <w:t xml:space="preserve">Primary search phrase  </w:t>
      </w:r>
      <w:r>
        <w:rPr>
          <w:sz w:val="21"/>
        </w:rPr>
        <w:t>before you take an internal role ask these 3 questions</w:t>
      </w:r>
    </w:p>
    <w:p>
      <w:pPr>
        <w:spacing w:after="80"/>
      </w:pPr>
      <w:r>
        <w:rPr>
          <w:b/>
          <w:color w:val="8A6D1E"/>
          <w:sz w:val="20"/>
        </w:rPr>
        <w:t xml:space="preserve">Playlist  </w:t>
      </w:r>
      <w:r>
        <w:rPr>
          <w:sz w:val="21"/>
        </w:rPr>
        <w:t>Make Your Next Move Without Starting Over   https://www.youtube.com/playlist?list=PLJt1Qn1s6-3U</w:t>
      </w:r>
    </w:p>
    <w:p>
      <w:pPr>
        <w:spacing w:after="80"/>
      </w:pPr>
      <w:r>
        <w:rPr>
          <w:b/>
          <w:color w:val="8A6D1E"/>
          <w:sz w:val="20"/>
        </w:rPr>
        <w:t xml:space="preserve">Watch Next  </w:t>
      </w:r>
      <w:r>
        <w:rPr>
          <w:sz w:val="21"/>
        </w:rPr>
        <w:t>Are You Growing, or Just Being Given More Work?   (Video 7)</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You are offered an internal role. Same company. Better title. Maybe more visibility. Maybe more money. It feels like progress because something is changing.</w:t>
      </w:r>
    </w:p>
    <w:p>
      <w:pPr>
        <w:spacing w:before="0" w:after="160"/>
      </w:pPr>
      <w:r>
        <w:rPr>
          <w:b w:val="0"/>
          <w:i w:val="0"/>
          <w:sz w:val="22"/>
        </w:rPr>
        <w:t>But before saying yes, there is one question worth answering: a year from now, what will you be able to do, decide, or prove that you cannot do today?</w:t>
      </w:r>
    </w:p>
    <w:p>
      <w:pPr>
        <w:spacing w:before="0" w:after="160"/>
      </w:pPr>
      <w:r>
        <w:rPr>
          <w:b w:val="0"/>
          <w:i w:val="0"/>
          <w:sz w:val="22"/>
        </w:rPr>
        <w:t>An internal move can change your title without changing your career. In this video I give you three questions for reading what an internal opportunity will actually build:</w:t>
      </w:r>
    </w:p>
    <w:p>
      <w:pPr>
        <w:spacing w:before="0" w:after="160"/>
      </w:pPr>
      <w:r>
        <w:rPr>
          <w:b w:val="0"/>
          <w:i w:val="0"/>
          <w:sz w:val="22"/>
        </w:rPr>
        <w:t>✨ Will the work change?</w:t>
        <w:br/>
        <w:t>✨ Will my judgment expand?</w:t>
        <w:br/>
        <w:t>✨ Will the evidence travel?</w:t>
      </w:r>
    </w:p>
    <w:p>
      <w:pPr>
        <w:spacing w:before="0" w:after="160"/>
      </w:pPr>
      <w:r>
        <w:rPr>
          <w:b w:val="0"/>
          <w:i w:val="0"/>
          <w:sz w:val="22"/>
        </w:rPr>
        <w:t>This is not an argument that internal is better than external. A new employer can give you a new logo and the same work. Compare the actual access to different work, stronger judgment, and clearer evidence.</w:t>
      </w:r>
    </w:p>
    <w:p>
      <w:pPr>
        <w:spacing w:before="0" w:after="160"/>
      </w:pPr>
      <w:r>
        <w:rPr>
          <w:b w:val="0"/>
          <w:i w:val="0"/>
          <w:sz w:val="22"/>
        </w:rPr>
        <w:t>A move can still be right for compensation, flexibility, stability, manager fit, family needs, benefits, timing, or another reason that matters in your life. And an internal move cannot erase bias, age discrimination, blocked access, compensation bands, missing credentials, or the fact that your organization may not contain the work you need.</w:t>
      </w:r>
    </w:p>
    <w:p>
      <w:pPr>
        <w:spacing w:before="0" w:after="160"/>
      </w:pPr>
      <w:r>
        <w:rPr>
          <w:b w:val="0"/>
          <w:i w:val="0"/>
          <w:sz w:val="22"/>
        </w:rPr>
        <w:t>You may not need to leave. But the work does need to change.</w:t>
      </w:r>
    </w:p>
    <w:p>
      <w:pPr>
        <w:spacing w:before="0" w:after="160"/>
      </w:pPr>
      <w:r>
        <w:rPr>
          <w:b w:val="0"/>
          <w:i w:val="0"/>
          <w:sz w:val="22"/>
        </w:rPr>
        <w:t>🧭 FREE CAREER DECISION EVIDENCE CHECK</w:t>
        <w:br/>
        <w:t>If you are deciding whether to stay, move internally, or leave, use this free evidence check to read the choice more clearly:</w:t>
        <w:br/>
        <w:t>https://temidayoafonja.com/career-decisions</w:t>
      </w:r>
    </w:p>
    <w:p>
      <w:pPr>
        <w:spacing w:before="0" w:after="160"/>
      </w:pPr>
      <w:r>
        <w:rPr>
          <w:b w:val="0"/>
          <w:i w:val="0"/>
          <w:sz w:val="22"/>
        </w:rPr>
        <w:t>▶️ WATCH NEXT</w:t>
        <w:br/>
        <w:t>Are You Growing, or Just Being Given More Work?</w:t>
        <w:br/>
        <w:t>[ADD VIDEO 7 LINK]</w:t>
      </w:r>
    </w:p>
    <w:p>
      <w:pPr>
        <w:spacing w:before="0" w:after="160"/>
      </w:pPr>
      <w:r>
        <w:rPr>
          <w:b w:val="0"/>
          <w:i w:val="0"/>
          <w:sz w:val="22"/>
        </w:rPr>
        <w:t>▶️ START HERE</w:t>
        <w:br/>
        <w:t>Make Your Next Move Without Starting Over</w:t>
        <w:br/>
        <w:t>https://www.youtube.com/playlist?list=PLJt1Qn1s6-3U</w:t>
      </w:r>
    </w:p>
    <w:p>
      <w:pPr>
        <w:spacing w:before="0" w:after="160"/>
      </w:pPr>
      <w:r>
        <w:rPr>
          <w:b w:val="0"/>
          <w:i w:val="0"/>
          <w:sz w:val="22"/>
        </w:rPr>
        <w:t>🔗 CONNECT AND EXPLORE</w:t>
        <w:br/>
        <w:t>Website:</w:t>
        <w:br/>
        <w:t>https://temidayoafonja.com</w:t>
      </w:r>
    </w:p>
    <w:p>
      <w:pPr>
        <w:spacing w:before="0" w:after="160"/>
      </w:pPr>
      <w:r>
        <w:rPr>
          <w:b w:val="0"/>
          <w:i w:val="0"/>
          <w:sz w:val="22"/>
        </w:rPr>
        <w:t>LinkedIn:</w:t>
        <w:br/>
        <w:t>https://www.linkedin.com/in/temidayo-afonja</w:t>
      </w:r>
    </w:p>
    <w:p>
      <w:pPr>
        <w:spacing w:before="0" w:after="160"/>
      </w:pPr>
      <w:r>
        <w:rPr>
          <w:b w:val="0"/>
          <w:i w:val="0"/>
          <w:sz w:val="22"/>
        </w:rPr>
        <w:t>Substack:</w:t>
        <w:br/>
        <w:t>https://temidayoafonja.substack.com</w:t>
      </w:r>
    </w:p>
    <w:p>
      <w:pPr>
        <w:spacing w:before="0" w:after="160"/>
      </w:pPr>
      <w:r>
        <w:rPr>
          <w:b w:val="0"/>
          <w:i w:val="0"/>
          <w:sz w:val="22"/>
        </w:rPr>
        <w:t>#InternalMobility #CareerGrowth #CareerDecision</w:t>
      </w:r>
    </w:p>
    <w:p>
      <w:pPr>
        <w:spacing w:before="120" w:after="200"/>
      </w:pPr>
      <w:r>
        <w:rPr>
          <w:b/>
          <w:i w:val="0"/>
          <w:color w:val="8A6D1E"/>
          <w:sz w:val="20"/>
        </w:rPr>
        <w:t>COPY-READY YOUTUBE DESCRIPTION  ·  END</w:t>
      </w:r>
    </w:p>
    <w:p>
      <w:pPr>
        <w:spacing w:before="0" w:after="240"/>
        <w:pBdr>
          <w:bottom w:val="single" w:sz="6" w:color="8A6D1E"/>
        </w:pBdr>
      </w:pPr>
    </w:p>
    <w:p>
      <w:pPr>
        <w:spacing w:before="200" w:after="160"/>
      </w:pPr>
      <w:r>
        <w:rPr>
          <w:b/>
          <w:i w:val="0"/>
          <w:color w:val="8A6D1E"/>
          <w:sz w:val="20"/>
        </w:rPr>
        <w:t>COPY-READY PINNED COMMENT  ·  BEGIN</w:t>
      </w:r>
    </w:p>
    <w:p>
      <w:pPr>
        <w:spacing w:before="0" w:after="160"/>
      </w:pPr>
      <w:r>
        <w:rPr>
          <w:b w:val="0"/>
          <w:i w:val="0"/>
          <w:sz w:val="22"/>
        </w:rPr>
        <w:t>Before your next internal conversation, write one sentence under each question:</w:t>
      </w:r>
    </w:p>
    <w:p>
      <w:pPr>
        <w:spacing w:before="0" w:after="160"/>
      </w:pPr>
      <w:r>
        <w:rPr>
          <w:b w:val="0"/>
          <w:i w:val="0"/>
          <w:sz w:val="22"/>
        </w:rPr>
        <w:t>1. What different work will I enter?</w:t>
        <w:br/>
        <w:t>2. What judgment will I be trusted to carry?</w:t>
        <w:br/>
        <w:t>3. What evidence could I explain a year from now?</w:t>
      </w:r>
    </w:p>
    <w:p>
      <w:pPr>
        <w:spacing w:before="0" w:after="160"/>
      </w:pPr>
      <w:r>
        <w:rPr>
          <w:b w:val="0"/>
          <w:i w:val="0"/>
          <w:sz w:val="22"/>
        </w:rPr>
        <w:t>Three clear yeses and the developmental case is strong. Two yeses tells you which dimension to investigate or negotiate. Zero or one does not automatically make the move wrong, but it may be movement without much growth, and it is worth being accurate about that.</w:t>
      </w:r>
    </w:p>
    <w:p>
      <w:pPr>
        <w:spacing w:before="0" w:after="160"/>
      </w:pPr>
      <w:r>
        <w:rPr>
          <w:b w:val="0"/>
          <w:i w:val="0"/>
          <w:sz w:val="22"/>
        </w:rPr>
        <w:t>Free Career Decision Evidence Check:</w:t>
        <w:br/>
        <w:t>https://temidayoafonja.com/career-decisions</w:t>
      </w:r>
    </w:p>
    <w:p>
      <w:pPr>
        <w:spacing w:before="120" w:after="200"/>
      </w:pPr>
      <w:r>
        <w:rPr>
          <w:b/>
          <w:i w:val="0"/>
          <w:color w:val="8A6D1E"/>
          <w:sz w:val="20"/>
        </w:rPr>
        <w:t>COPY-READY PINNED COMMENT  ·  END</w:t>
      </w:r>
    </w:p>
    <w:p>
      <w:pPr>
        <w:spacing w:before="0" w:after="240"/>
        <w:pBdr>
          <w:bottom w:val="single" w:sz="6" w:color="8A6D1E"/>
        </w:pBdr>
      </w:pPr>
    </w:p>
    <w:p>
      <w:pPr>
        <w:spacing w:before="320" w:after="120"/>
        <w:keepNext w:val="1"/>
        <w:keepLines w:val="1"/>
      </w:pPr>
      <w:r>
        <w:rPr>
          <w:b/>
          <w:i w:val="0"/>
          <w:color w:val="112345"/>
          <w:sz w:val="26"/>
        </w:rPr>
        <w:t>TAGS</w:t>
      </w:r>
    </w:p>
    <w:p>
      <w:pPr>
        <w:spacing w:before="0" w:after="160"/>
      </w:pPr>
      <w:r>
        <w:rPr>
          <w:b w:val="0"/>
          <w:i w:val="0"/>
          <w:sz w:val="21"/>
        </w:rPr>
        <w:t>Temidayo Afonja, Capability Formation, before you take an internal role, internal role, should I make an internal move, internal move, internal mobility, internal job transfer, lateral move, career growth, career decision, stay or leave job, career change, career transition, career evidence, experienced professionals, mid career, internal career move, career development</w:t>
      </w:r>
    </w:p>
    <w:p>
      <w:pPr>
        <w:spacing w:before="320" w:after="120"/>
        <w:keepNext w:val="1"/>
        <w:keepLines w:val="1"/>
      </w:pPr>
      <w:r>
        <w:rPr>
          <w:b/>
          <w:i w:val="0"/>
          <w:color w:val="112345"/>
          <w:sz w:val="26"/>
        </w:rPr>
        <w:t>HASHTAGS</w:t>
      </w:r>
    </w:p>
    <w:p>
      <w:pPr>
        <w:spacing w:before="0" w:after="160"/>
      </w:pPr>
      <w:r>
        <w:rPr>
          <w:b w:val="0"/>
          <w:i w:val="0"/>
          <w:sz w:val="21"/>
        </w:rPr>
        <w:t>#InternalMobility  #CareerGrowth  #CareerDecision</w:t>
      </w:r>
    </w:p>
    <w:p>
      <w:pPr>
        <w:spacing w:before="320" w:after="120"/>
        <w:keepNext w:val="1"/>
        <w:keepLines w:val="1"/>
      </w:pPr>
      <w:r>
        <w:rPr>
          <w:b/>
          <w:i w:val="0"/>
          <w:color w:val="112345"/>
          <w:sz w:val="26"/>
        </w:rPr>
        <w:t>WHAT CHANGED IN THIS SYNCHRONIZATION</w:t>
      </w:r>
    </w:p>
    <w:p>
      <w:pPr>
        <w:spacing w:after="80"/>
      </w:pPr>
      <w:r>
        <w:rPr>
          <w:b/>
          <w:color w:val="8A6D1E"/>
          <w:sz w:val="20"/>
        </w:rPr>
        <w:t xml:space="preserve">Description  </w:t>
      </w:r>
      <w:r>
        <w:rPr>
          <w:sz w:val="21"/>
        </w:rPr>
        <w:t>OPENING PARAGRAPH REPLACED. The previous description opened on "an internal move can look safe because the logo does not change," which the locked script no longer says. It now opens on the offer and the one-year question, which is the script's actual opening. The three questions, the boundaries paragraph, the resource route, Watch Next and hashtags are unchanged.</w:t>
      </w:r>
    </w:p>
    <w:p>
      <w:pPr>
        <w:spacing w:after="80"/>
      </w:pPr>
      <w:r>
        <w:rPr>
          <w:b/>
          <w:color w:val="8A6D1E"/>
          <w:sz w:val="20"/>
        </w:rPr>
        <w:t xml:space="preserve">Pinned comment  </w:t>
      </w:r>
      <w:r>
        <w:rPr>
          <w:sz w:val="21"/>
        </w:rPr>
        <w:t>COPY UPDATE. The three questions are unchanged and still spoken verbatim. The reading line said "a strong growth case"; the locked script says the developmental case is strong, and the zero-or-one reading now carries the script's own MAY BE qualification.</w:t>
      </w:r>
    </w:p>
    <w:p>
      <w:pPr>
        <w:spacing w:after="80"/>
      </w:pPr>
      <w:r>
        <w:rPr>
          <w:b/>
          <w:color w:val="8A6D1E"/>
          <w:sz w:val="20"/>
        </w:rPr>
        <w:t xml:space="preserve">Tags and hashtags  </w:t>
      </w:r>
      <w:r>
        <w:rPr>
          <w:sz w:val="21"/>
        </w:rPr>
        <w:t>Unchanged. The retired primary title is deliberately retained as a search tag so the topic still surfaces for people searching that way.</w:t>
      </w:r>
    </w:p>
    <w:p>
      <w:pPr>
        <w:spacing w:before="320" w:after="120"/>
        <w:keepNext w:val="1"/>
        <w:keepLines w:val="1"/>
      </w:pPr>
      <w:r>
        <w:rPr>
          <w:b/>
          <w:i w:val="0"/>
          <w:color w:val="112345"/>
          <w:sz w:val="26"/>
        </w:rPr>
        <w:t>INTERNAL NOTES, DO NOT PASTE</w:t>
      </w:r>
    </w:p>
    <w:p>
      <w:pPr>
        <w:spacing w:before="0" w:after="160"/>
      </w:pPr>
      <w:r>
        <w:rPr>
          <w:b w:val="0"/>
          <w:i w:val="0"/>
          <w:color w:val="5A6B82"/>
          <w:sz w:val="20"/>
        </w:rPr>
        <w:t>NO CHAPTER TIMESTAMPS ARE SUPPLIED. Build chapters from the actual final export after the edit is locked. Do not estimate them from the script.</w:t>
      </w:r>
    </w:p>
    <w:p>
      <w:pPr>
        <w:spacing w:before="0" w:after="160"/>
      </w:pPr>
      <w:r>
        <w:rPr>
          <w:b w:val="0"/>
          <w:i w:val="0"/>
          <w:color w:val="5A6B82"/>
          <w:sz w:val="20"/>
        </w:rPr>
        <w:t>NO MUSIC ATTRIBUTION IS SUPPLIED. Add a music section only if music is used in the final edit, using the real track and license from the finished project. Never invent a license code.</w:t>
      </w:r>
    </w:p>
    <w:p>
      <w:pPr>
        <w:spacing w:before="0" w:after="160"/>
      </w:pPr>
      <w:r>
        <w:rPr>
          <w:b w:val="0"/>
          <w:i w:val="0"/>
          <w:color w:val="5A6B82"/>
          <w:sz w:val="20"/>
        </w:rPr>
        <w:t>LINKED DESTINATIONS</w:t>
        <w:br/>
        <w:br/>
        <w:t>Confirm each destination is reachable by a viewer before publication. These</w:t>
        <w:br/>
        <w:t>addresses are carried forward from the approved packages and were not invented</w:t>
        <w:br/>
        <w:t>here, but nothing in this package can test whether they resolve:</w:t>
        <w:br/>
        <w:br/>
        <w:t xml:space="preserve">  https://temidayoafonja.com/career-evidence-starter</w:t>
        <w:br/>
        <w:t xml:space="preserve">  https://temidayoafonja.com/keep-the-proof</w:t>
        <w:br/>
        <w:t xml:space="preserve">  https://temidayoafonja.com/career-decisions</w:t>
        <w:br/>
        <w:t xml:space="preserve">  https://temidayoafonja.com/fieldkit</w:t>
        <w:br/>
        <w:t xml:space="preserve">  https://www.youtube.com/playlist?list=PLJt1Qn1s6-3U</w:t>
        <w:br/>
        <w:br/>
        <w:t>No YouTube video URL is supplied for any Watch Next card. The placeholder in</w:t>
        <w:br/>
        <w:t>each description is deliberate. Paste the real URL once the destination video</w:t>
        <w:br/>
        <w:t>is published. Do not construct a YouTube URL from a guessed identifier.</w:t>
      </w:r>
    </w:p>
    <w:p>
      <w:pPr>
        <w:spacing w:before="0" w:after="160"/>
      </w:pPr>
      <w:r>
        <w:rPr>
          <w:b w:val="0"/>
          <w:i w:val="0"/>
          <w:color w:val="5A6B82"/>
          <w:sz w:val="20"/>
        </w:rPr>
        <w:t>One product route only in this video. Do not add a second product link and do not stack an additional spoken CTA.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