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12" w:lineRule="auto"/>
      </w:pPr>
      <w:r>
        <w:rPr>
          <w:rFonts w:ascii="DM Sans" w:hAnsi="DM Sans" w:cs="DM Sans"/>
          <w:b/>
          <w:i w:val="0"/>
          <w:color w:val="C9A84C"/>
          <w:sz w:val="18"/>
          <w:spacing w:val="40"/>
        </w:rPr>
        <w:t>MAVEN OR FREE EVENT LISTING COPY</w:t>
      </w:r>
    </w:p>
    <w:p>
      <w:pPr>
        <w:spacing w:after="40" w:before="0" w:line="252" w:lineRule="auto"/>
      </w:pPr>
      <w:r>
        <w:rPr>
          <w:rFonts w:ascii="Cormorant Garamond" w:hAnsi="Cormorant Garamond" w:cs="Cormorant Garamond"/>
          <w:b w:val="0"/>
          <w:i w:val="0"/>
          <w:color w:val="0F2347"/>
          <w:sz w:val="48"/>
        </w:rPr>
        <w:t>Is Your Work Still Building You?</w:t>
      </w:r>
    </w:p>
    <w:p>
      <w:pPr>
        <w:spacing w:after="160" w:before="0" w:line="288" w:lineRule="auto"/>
      </w:pPr>
      <w:r>
        <w:rPr>
          <w:rFonts w:ascii="Cormorant Garamond" w:hAnsi="Cormorant Garamond" w:cs="Cormorant Garamond"/>
          <w:b w:val="0"/>
          <w:i/>
          <w:color w:val="4A4A4A"/>
          <w:sz w:val="30"/>
        </w:rPr>
        <w:t>Three Ways Capable Professionals Misread Their Position</w:t>
      </w:r>
    </w:p>
    <w:p>
      <w:pPr>
        <w:spacing w:after="160" w:before="0" w:line="312" w:lineRule="auto"/>
      </w:pPr>
      <w:r>
        <w:rPr>
          <w:rFonts w:ascii="DM Sans" w:hAnsi="DM Sans" w:cs="DM Sans"/>
          <w:b w:val="0"/>
          <w:i w:val="0"/>
          <w:color w:val="4A4A4A"/>
          <w:sz w:val="20"/>
          <w:spacing w:val="30"/>
        </w:rPr>
        <w:t>A free preview of the Capability Position Read  |  September 16  |  30 minutes</w:t>
      </w:r>
    </w:p>
    <w:p>
      <w:pPr>
        <w:pBdr>
          <w:bottom w:val="single" w:sz="6" w:space="1" w:color="C9A84C"/>
        </w:pBdr>
        <w:spacing w:after="120"/>
      </w:pPr>
    </w:p>
    <w:p>
      <w:pPr>
        <w:spacing w:after="120" w:before="200" w:line="312" w:lineRule="auto"/>
      </w:pPr>
      <w:r>
        <w:rPr>
          <w:rFonts w:ascii="DM Sans" w:hAnsi="DM Sans" w:cs="DM Sans"/>
          <w:b/>
          <w:i w:val="0"/>
          <w:color w:val="C9A84C"/>
          <w:sz w:val="18"/>
          <w:spacing w:val="40"/>
        </w:rPr>
        <w:t>TITLE</w:t>
      </w:r>
    </w:p>
    <w:p>
      <w:pPr>
        <w:spacing w:after="120" w:before="0" w:line="336" w:lineRule="auto"/>
      </w:pPr>
      <w:r>
        <w:rPr>
          <w:rFonts w:ascii="DM Sans" w:hAnsi="DM Sans" w:cs="DM Sans"/>
          <w:b w:val="0"/>
          <w:i w:val="0"/>
          <w:color w:val="1A1A1A"/>
          <w:sz w:val="22"/>
        </w:rPr>
        <w:t>Is Your Work Still Building You? Three Ways Capable Professionals Misread Their Position.</w:t>
      </w:r>
    </w:p>
    <w:p>
      <w:pPr>
        <w:spacing w:after="120" w:before="200" w:line="312" w:lineRule="auto"/>
      </w:pPr>
      <w:r>
        <w:rPr>
          <w:rFonts w:ascii="DM Sans" w:hAnsi="DM Sans" w:cs="DM Sans"/>
          <w:b/>
          <w:i w:val="0"/>
          <w:color w:val="C9A84C"/>
          <w:sz w:val="18"/>
          <w:spacing w:val="40"/>
        </w:rPr>
        <w:t>SUBTITLE</w:t>
      </w:r>
    </w:p>
    <w:p>
      <w:pPr>
        <w:spacing w:after="120" w:before="0" w:line="336" w:lineRule="auto"/>
      </w:pPr>
      <w:r>
        <w:rPr>
          <w:rFonts w:ascii="DM Sans" w:hAnsi="DM Sans" w:cs="DM Sans"/>
          <w:b w:val="0"/>
          <w:i w:val="0"/>
          <w:color w:val="1A1A1A"/>
          <w:sz w:val="22"/>
        </w:rPr>
        <w:t>A free preview of the Capability Position Read. Thirty minutes, no scoring, no personalized plan.</w:t>
      </w:r>
    </w:p>
    <w:p>
      <w:pPr>
        <w:spacing w:after="120" w:before="200" w:line="312" w:lineRule="auto"/>
      </w:pPr>
      <w:r>
        <w:rPr>
          <w:rFonts w:ascii="DM Sans" w:hAnsi="DM Sans" w:cs="DM Sans"/>
          <w:b/>
          <w:i w:val="0"/>
          <w:color w:val="C9A84C"/>
          <w:sz w:val="18"/>
          <w:spacing w:val="40"/>
        </w:rPr>
        <w:t>WHO THIS IS FOR</w:t>
      </w:r>
    </w:p>
    <w:p>
      <w:pPr>
        <w:spacing w:after="120" w:before="0" w:line="336" w:lineRule="auto"/>
      </w:pPr>
      <w:r>
        <w:rPr>
          <w:rFonts w:ascii="DM Sans" w:hAnsi="DM Sans" w:cs="DM Sans"/>
          <w:b w:val="0"/>
          <w:i w:val="0"/>
          <w:color w:val="1A1A1A"/>
          <w:sz w:val="22"/>
        </w:rPr>
        <w:t>Experienced professionals, roughly eight or more years into work, who are considering something consequential about their role.</w:t>
      </w:r>
    </w:p>
    <w:p>
      <w:pPr>
        <w:spacing w:after="120" w:before="0" w:line="336" w:lineRule="auto"/>
      </w:pPr>
      <w:r>
        <w:rPr>
          <w:rFonts w:ascii="DM Sans" w:hAnsi="DM Sans" w:cs="DM Sans"/>
          <w:b w:val="0"/>
          <w:i w:val="0"/>
          <w:color w:val="1A1A1A"/>
          <w:sz w:val="22"/>
        </w:rPr>
        <w:t>You may be performing well but unsure if you are still growing. You may be recently promoted and carrying more responsibility. You may be valued internally but uncertain whether your value travels. You may be facing a reorganization, an internal move, or an external opportunity. You may be watching AI change the shape of your work and wondering what still forms capability.</w:t>
      </w:r>
    </w:p>
    <w:p>
      <w:pPr>
        <w:spacing w:after="120" w:before="0" w:line="336" w:lineRule="auto"/>
      </w:pPr>
      <w:r>
        <w:rPr>
          <w:rFonts w:ascii="DM Sans" w:hAnsi="DM Sans" w:cs="DM Sans"/>
          <w:b w:val="0"/>
          <w:i w:val="0"/>
          <w:color w:val="1A1A1A"/>
          <w:sz w:val="22"/>
        </w:rPr>
        <w:t>This session is not for résumé tips, interview coaching, or job-search hacks.</w:t>
      </w:r>
    </w:p>
    <w:p>
      <w:pPr>
        <w:spacing w:after="120" w:before="200" w:line="312" w:lineRule="auto"/>
      </w:pPr>
      <w:r>
        <w:rPr>
          <w:rFonts w:ascii="DM Sans" w:hAnsi="DM Sans" w:cs="DM Sans"/>
          <w:b/>
          <w:i w:val="0"/>
          <w:color w:val="C9A84C"/>
          <w:sz w:val="18"/>
          <w:spacing w:val="40"/>
        </w:rPr>
        <w:t>WHAT YOU WILL LEARN</w:t>
      </w:r>
    </w:p>
    <w:p>
      <w:pPr>
        <w:spacing w:after="120" w:before="0" w:line="336" w:lineRule="auto"/>
      </w:pPr>
      <w:r>
        <w:rPr>
          <w:rFonts w:ascii="DM Sans" w:hAnsi="DM Sans" w:cs="DM Sans"/>
          <w:b w:val="0"/>
          <w:i w:val="0"/>
          <w:color w:val="1A1A1A"/>
          <w:sz w:val="22"/>
        </w:rPr>
        <w:t>The two words the Capability Position Read uses to read a role. Density (is this environment still forming me?) and Optionality (does what it built travel?).</w:t>
      </w:r>
    </w:p>
    <w:p>
      <w:pPr>
        <w:spacing w:after="120" w:before="0" w:line="336" w:lineRule="auto"/>
      </w:pPr>
      <w:r>
        <w:rPr>
          <w:rFonts w:ascii="DM Sans" w:hAnsi="DM Sans" w:cs="DM Sans"/>
          <w:b w:val="0"/>
          <w:i w:val="0"/>
          <w:color w:val="1A1A1A"/>
          <w:sz w:val="22"/>
        </w:rPr>
        <w:t>Three misreadings capable people make. Scoring the intended life. Confusing being valued with being formed. Reading low Optionality as a verdict on ability.</w:t>
      </w:r>
    </w:p>
    <w:p>
      <w:pPr>
        <w:spacing w:after="120" w:before="0" w:line="336" w:lineRule="auto"/>
      </w:pPr>
      <w:r>
        <w:rPr>
          <w:rFonts w:ascii="DM Sans" w:hAnsi="DM Sans" w:cs="DM Sans"/>
          <w:b w:val="0"/>
          <w:i w:val="0"/>
          <w:color w:val="1A1A1A"/>
          <w:sz w:val="22"/>
        </w:rPr>
        <w:t>A short reflection pass that helps you notice which misreading, if any, is in play for you right now.</w:t>
      </w:r>
    </w:p>
    <w:p>
      <w:pPr>
        <w:spacing w:after="120" w:before="0" w:line="336" w:lineRule="auto"/>
      </w:pPr>
      <w:r>
        <w:rPr>
          <w:rFonts w:ascii="DM Sans" w:hAnsi="DM Sans" w:cs="DM Sans"/>
          <w:b w:val="0"/>
          <w:i w:val="0"/>
          <w:color w:val="1A1A1A"/>
          <w:sz w:val="22"/>
        </w:rPr>
        <w:t>A brief note on what AI changes about the reading, at the level of principle.</w:t>
      </w:r>
    </w:p>
    <w:p>
      <w:pPr>
        <w:spacing w:after="120" w:before="200" w:line="312" w:lineRule="auto"/>
      </w:pPr>
      <w:r>
        <w:rPr>
          <w:rFonts w:ascii="DM Sans" w:hAnsi="DM Sans" w:cs="DM Sans"/>
          <w:b/>
          <w:i w:val="0"/>
          <w:color w:val="C9A84C"/>
          <w:sz w:val="18"/>
          <w:spacing w:val="40"/>
        </w:rPr>
        <w:t>WHAT YOU WILL NOT GET</w:t>
      </w:r>
    </w:p>
    <w:p>
      <w:pPr>
        <w:spacing w:after="120" w:before="0" w:line="336" w:lineRule="auto"/>
      </w:pPr>
      <w:r>
        <w:rPr>
          <w:rFonts w:ascii="DM Sans" w:hAnsi="DM Sans" w:cs="DM Sans"/>
          <w:b w:val="0"/>
          <w:i w:val="0"/>
          <w:color w:val="1A1A1A"/>
          <w:sz w:val="22"/>
        </w:rPr>
        <w:t>This lesson will not tell you whether to stay or leave.</w:t>
      </w:r>
    </w:p>
    <w:p>
      <w:pPr>
        <w:spacing w:after="120" w:before="0" w:line="336" w:lineRule="auto"/>
      </w:pPr>
      <w:r>
        <w:rPr>
          <w:rFonts w:ascii="DM Sans" w:hAnsi="DM Sans" w:cs="DM Sans"/>
          <w:b w:val="0"/>
          <w:i w:val="0"/>
          <w:color w:val="1A1A1A"/>
          <w:sz w:val="22"/>
        </w:rPr>
        <w:t>It will not administer the full twelve-statement instrument.</w:t>
      </w:r>
    </w:p>
    <w:p>
      <w:pPr>
        <w:spacing w:after="120" w:before="0" w:line="336" w:lineRule="auto"/>
      </w:pPr>
      <w:r>
        <w:rPr>
          <w:rFonts w:ascii="DM Sans" w:hAnsi="DM Sans" w:cs="DM Sans"/>
          <w:b w:val="0"/>
          <w:i w:val="0"/>
          <w:color w:val="1A1A1A"/>
          <w:sz w:val="22"/>
        </w:rPr>
        <w:t>It will not calculate Density or Optionality totals for you.</w:t>
      </w:r>
    </w:p>
    <w:p>
      <w:pPr>
        <w:spacing w:after="120" w:before="0" w:line="336" w:lineRule="auto"/>
      </w:pPr>
      <w:r>
        <w:rPr>
          <w:rFonts w:ascii="DM Sans" w:hAnsi="DM Sans" w:cs="DM Sans"/>
          <w:b w:val="0"/>
          <w:i w:val="0"/>
          <w:color w:val="1A1A1A"/>
          <w:sz w:val="22"/>
        </w:rPr>
        <w:t>It will not place you into a Career State.</w:t>
      </w:r>
    </w:p>
    <w:p>
      <w:pPr>
        <w:spacing w:after="120" w:before="0" w:line="336" w:lineRule="auto"/>
      </w:pPr>
      <w:r>
        <w:rPr>
          <w:rFonts w:ascii="DM Sans" w:hAnsi="DM Sans" w:cs="DM Sans"/>
          <w:b w:val="0"/>
          <w:i w:val="0"/>
          <w:color w:val="1A1A1A"/>
          <w:sz w:val="22"/>
        </w:rPr>
        <w:t>It will not produce a personalized 90-day plan.</w:t>
      </w:r>
    </w:p>
    <w:p>
      <w:pPr>
        <w:spacing w:after="120" w:before="0" w:line="336" w:lineRule="auto"/>
      </w:pPr>
      <w:r>
        <w:rPr>
          <w:rFonts w:ascii="DM Sans" w:hAnsi="DM Sans" w:cs="DM Sans"/>
          <w:b w:val="0"/>
          <w:i w:val="0"/>
          <w:color w:val="1A1A1A"/>
          <w:sz w:val="22"/>
        </w:rPr>
        <w:t>It will not include the full workbook or Field Kit.</w:t>
      </w:r>
    </w:p>
    <w:p>
      <w:pPr>
        <w:spacing w:after="120" w:before="0" w:line="336" w:lineRule="auto"/>
      </w:pPr>
      <w:r>
        <w:rPr>
          <w:rFonts w:ascii="DM Sans" w:hAnsi="DM Sans" w:cs="DM Sans"/>
          <w:b w:val="0"/>
          <w:i w:val="0"/>
          <w:color w:val="1A1A1A"/>
          <w:sz w:val="22"/>
        </w:rPr>
        <w:t>Those belong to the paid workshop.</w:t>
      </w:r>
    </w:p>
    <w:p>
      <w:pPr>
        <w:spacing w:after="120" w:before="200" w:line="312" w:lineRule="auto"/>
      </w:pPr>
      <w:r>
        <w:rPr>
          <w:rFonts w:ascii="DM Sans" w:hAnsi="DM Sans" w:cs="DM Sans"/>
          <w:b/>
          <w:i w:val="0"/>
          <w:color w:val="C9A84C"/>
          <w:sz w:val="18"/>
          <w:spacing w:val="40"/>
        </w:rPr>
        <w:t>WHO SHOULD ATTEND</w:t>
      </w:r>
    </w:p>
    <w:p>
      <w:pPr>
        <w:spacing w:after="120" w:before="0" w:line="336" w:lineRule="auto"/>
      </w:pPr>
      <w:r>
        <w:rPr>
          <w:rFonts w:ascii="DM Sans" w:hAnsi="DM Sans" w:cs="DM Sans"/>
          <w:b w:val="0"/>
          <w:i w:val="0"/>
          <w:color w:val="1A1A1A"/>
          <w:sz w:val="22"/>
        </w:rPr>
        <w:t>Professionals who prefer careful thinking to fast answers.</w:t>
      </w:r>
    </w:p>
    <w:p>
      <w:pPr>
        <w:spacing w:after="120" w:before="0" w:line="336" w:lineRule="auto"/>
      </w:pPr>
      <w:r>
        <w:rPr>
          <w:rFonts w:ascii="DM Sans" w:hAnsi="DM Sans" w:cs="DM Sans"/>
          <w:b w:val="0"/>
          <w:i w:val="0"/>
          <w:color w:val="1A1A1A"/>
          <w:sz w:val="22"/>
        </w:rPr>
        <w:t>People who suspect their current role may be valuing them without still forming them.</w:t>
      </w:r>
    </w:p>
    <w:p>
      <w:pPr>
        <w:spacing w:after="120" w:before="0" w:line="336" w:lineRule="auto"/>
      </w:pPr>
      <w:r>
        <w:rPr>
          <w:rFonts w:ascii="DM Sans" w:hAnsi="DM Sans" w:cs="DM Sans"/>
          <w:b w:val="0"/>
          <w:i w:val="0"/>
          <w:color w:val="1A1A1A"/>
          <w:sz w:val="22"/>
        </w:rPr>
        <w:t>People about to make a stay-or-move decision who want to read what their current work is building before they decide.</w:t>
      </w:r>
    </w:p>
    <w:p>
      <w:pPr>
        <w:spacing w:after="120" w:before="200" w:line="312" w:lineRule="auto"/>
      </w:pPr>
      <w:r>
        <w:rPr>
          <w:rFonts w:ascii="DM Sans" w:hAnsi="DM Sans" w:cs="DM Sans"/>
          <w:b/>
          <w:i w:val="0"/>
          <w:color w:val="C9A84C"/>
          <w:sz w:val="18"/>
          <w:spacing w:val="40"/>
        </w:rPr>
        <w:t>REGISTER FOR THIS FREE SESSION</w:t>
      </w:r>
    </w:p>
    <w:p>
      <w:pPr>
        <w:spacing w:after="120" w:before="0" w:line="336" w:lineRule="auto"/>
      </w:pPr>
      <w:r>
        <w:rPr>
          <w:rFonts w:ascii="DM Sans" w:hAnsi="DM Sans" w:cs="DM Sans"/>
          <w:b w:val="0"/>
          <w:i w:val="0"/>
          <w:color w:val="1A1A1A"/>
          <w:sz w:val="22"/>
        </w:rPr>
        <w:t>[Register, free]  |  September 16  |  30 minutes  |  optional 10-minute Q&amp;A after.</w:t>
      </w:r>
    </w:p>
    <w:p>
      <w:pPr>
        <w:spacing w:after="120" w:before="200" w:line="312" w:lineRule="auto"/>
      </w:pPr>
      <w:r>
        <w:rPr>
          <w:rFonts w:ascii="DM Sans" w:hAnsi="DM Sans" w:cs="DM Sans"/>
          <w:b/>
          <w:i w:val="0"/>
          <w:color w:val="C9A84C"/>
          <w:sz w:val="18"/>
          <w:spacing w:val="40"/>
        </w:rPr>
        <w:t>AFTER THE SESSION</w:t>
      </w:r>
    </w:p>
    <w:p>
      <w:pPr>
        <w:spacing w:after="120" w:before="0" w:line="336" w:lineRule="auto"/>
      </w:pPr>
      <w:r>
        <w:rPr>
          <w:rFonts w:ascii="DM Sans" w:hAnsi="DM Sans" w:cs="DM Sans"/>
          <w:b w:val="0"/>
          <w:i w:val="0"/>
          <w:color w:val="1A1A1A"/>
          <w:sz w:val="22"/>
        </w:rPr>
        <w:t>If the free lesson helps you recognize a pattern, the full workshop is where that pattern gets examined with evidence.</w:t>
      </w:r>
    </w:p>
    <w:p>
      <w:pPr>
        <w:spacing w:after="120" w:before="0" w:line="336" w:lineRule="auto"/>
      </w:pPr>
      <w:r>
        <w:rPr>
          <w:rFonts w:ascii="DM Sans" w:hAnsi="DM Sans" w:cs="DM Sans"/>
          <w:b w:val="0"/>
          <w:i w:val="0"/>
          <w:color w:val="1A1A1A"/>
          <w:sz w:val="22"/>
        </w:rPr>
        <w:t>Should I Stay or Should I Move? A Live Capability Position Read.</w:t>
      </w:r>
    </w:p>
    <w:p>
      <w:pPr>
        <w:spacing w:after="120" w:before="0" w:line="336" w:lineRule="auto"/>
      </w:pPr>
      <w:r>
        <w:rPr>
          <w:rFonts w:ascii="DM Sans" w:hAnsi="DM Sans" w:cs="DM Sans"/>
          <w:b w:val="0"/>
          <w:i w:val="0"/>
          <w:color w:val="1A1A1A"/>
          <w:sz w:val="22"/>
        </w:rPr>
        <w:t>Read what your current work is building before you decide.</w:t>
      </w:r>
    </w:p>
    <w:p>
      <w:pPr>
        <w:spacing w:after="120" w:before="0" w:line="336" w:lineRule="auto"/>
      </w:pPr>
      <w:r>
        <w:rPr>
          <w:rFonts w:ascii="DM Sans" w:hAnsi="DM Sans" w:cs="DM Sans"/>
          <w:b w:val="0"/>
          <w:i w:val="0"/>
          <w:color w:val="1A1A1A"/>
          <w:sz w:val="22"/>
        </w:rPr>
        <w:t>[Join the interest list for the paid workshop]</w:t>
      </w:r>
    </w:p>
    <w:p>
      <w:pPr>
        <w:pBdr>
          <w:bottom w:val="single" w:sz="6" w:space="1" w:color="C9A84C"/>
        </w:pBdr>
        <w:spacing w:after="120"/>
      </w:pPr>
    </w:p>
    <w:p>
      <w:pPr>
        <w:spacing w:after="120" w:before="120" w:line="312" w:lineRule="auto"/>
      </w:pPr>
      <w:r>
        <w:rPr>
          <w:rFonts w:ascii="DM Sans" w:hAnsi="DM Sans" w:cs="DM Sans"/>
          <w:b w:val="0"/>
          <w:i w:val="0"/>
          <w:color w:val="4A4A4A"/>
          <w:sz w:val="16"/>
          <w:spacing w:val="30"/>
        </w:rPr>
        <w:t>TEMIDAYO AFONJA   |   TEMIDAYOAFONJA.COM   |   LISTING COPY v1.0</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