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312" w:lineRule="auto"/>
      </w:pPr>
      <w:r>
        <w:rPr>
          <w:rFonts w:ascii="DM Sans" w:hAnsi="DM Sans" w:cs="DM Sans"/>
          <w:b/>
          <w:i w:val="0"/>
          <w:color w:val="C9A84C"/>
          <w:sz w:val="18"/>
          <w:spacing w:val="40"/>
        </w:rPr>
        <w:t>SHORT PROMOTIONAL COPY</w:t>
      </w:r>
    </w:p>
    <w:p>
      <w:pPr>
        <w:spacing w:after="40" w:before="0" w:line="252" w:lineRule="auto"/>
      </w:pPr>
      <w:r>
        <w:rPr>
          <w:rFonts w:ascii="Cormorant Garamond" w:hAnsi="Cormorant Garamond" w:cs="Cormorant Garamond"/>
          <w:b w:val="0"/>
          <w:i w:val="0"/>
          <w:color w:val="0F2347"/>
          <w:sz w:val="44"/>
        </w:rPr>
        <w:t>Is Your Work Still Building You?</w:t>
      </w:r>
    </w:p>
    <w:p>
      <w:pPr>
        <w:spacing w:after="200" w:before="0" w:line="288" w:lineRule="auto"/>
      </w:pPr>
      <w:r>
        <w:rPr>
          <w:rFonts w:ascii="Cormorant Garamond" w:hAnsi="Cormorant Garamond" w:cs="Cormorant Garamond"/>
          <w:b w:val="0"/>
          <w:i/>
          <w:color w:val="4A4A4A"/>
          <w:sz w:val="28"/>
        </w:rPr>
        <w:t>Three Ways Capable Professionals Misread Their Position</w:t>
      </w:r>
    </w:p>
    <w:p>
      <w:pPr>
        <w:pBdr>
          <w:bottom w:val="single" w:sz="6" w:space="1" w:color="C9A84C"/>
        </w:pBdr>
        <w:spacing w:after="120"/>
      </w:pPr>
    </w:p>
    <w:p>
      <w:pPr>
        <w:spacing w:after="120" w:before="160" w:line="312" w:lineRule="auto"/>
      </w:pPr>
      <w:r>
        <w:rPr>
          <w:rFonts w:ascii="DM Sans" w:hAnsi="DM Sans" w:cs="DM Sans"/>
          <w:b/>
          <w:i w:val="0"/>
          <w:color w:val="C9A84C"/>
          <w:sz w:val="18"/>
          <w:spacing w:val="40"/>
        </w:rPr>
        <w:t>POSITIONING NOTE</w:t>
      </w:r>
    </w:p>
    <w:p>
      <w:pPr>
        <w:spacing w:after="160" w:before="0" w:line="336" w:lineRule="auto"/>
      </w:pPr>
      <w:r>
        <w:rPr>
          <w:rFonts w:ascii="DM Sans" w:hAnsi="DM Sans" w:cs="DM Sans"/>
          <w:b w:val="0"/>
          <w:i w:val="0"/>
          <w:color w:val="1A1A1A"/>
          <w:sz w:val="22"/>
        </w:rPr>
        <w:t>This is a free preview lesson for experienced professionals who want to understand whether their current work is still forming capability before making a consequential career decision. It is not a career-coaching webinar. It is valuable on its own, and incomplete by design.</w:t>
      </w:r>
    </w:p>
    <w:p>
      <w:pPr>
        <w:spacing w:after="120" w:before="200" w:line="312" w:lineRule="auto"/>
      </w:pPr>
      <w:r>
        <w:rPr>
          <w:rFonts w:ascii="DM Sans" w:hAnsi="DM Sans" w:cs="DM Sans"/>
          <w:b/>
          <w:i w:val="0"/>
          <w:color w:val="C9A84C"/>
          <w:sz w:val="18"/>
          <w:spacing w:val="40"/>
        </w:rPr>
        <w:t>ONE-LINE PROMO</w:t>
      </w:r>
    </w:p>
    <w:p>
      <w:pPr>
        <w:spacing w:after="120" w:before="0" w:line="336" w:lineRule="auto"/>
      </w:pPr>
      <w:r>
        <w:rPr>
          <w:rFonts w:ascii="DM Sans" w:hAnsi="DM Sans" w:cs="DM Sans"/>
          <w:b w:val="0"/>
          <w:i w:val="0"/>
          <w:color w:val="1A1A1A"/>
          <w:sz w:val="22"/>
        </w:rPr>
        <w:t>A free 30-minute lesson from the Capability Position Read. Three ways capable professionals misread their position, and how to notice yours.</w:t>
      </w:r>
    </w:p>
    <w:p>
      <w:pPr>
        <w:spacing w:after="120" w:before="200" w:line="312" w:lineRule="auto"/>
      </w:pPr>
      <w:r>
        <w:rPr>
          <w:rFonts w:ascii="DM Sans" w:hAnsi="DM Sans" w:cs="DM Sans"/>
          <w:b/>
          <w:i w:val="0"/>
          <w:color w:val="C9A84C"/>
          <w:sz w:val="18"/>
          <w:spacing w:val="40"/>
        </w:rPr>
        <w:t>LONG-FORM PROMO (email, blog, LinkedIn post)</w:t>
      </w:r>
    </w:p>
    <w:p>
      <w:pPr>
        <w:spacing w:after="120" w:before="0" w:line="336" w:lineRule="auto"/>
      </w:pPr>
      <w:r>
        <w:rPr>
          <w:rFonts w:ascii="DM Sans" w:hAnsi="DM Sans" w:cs="DM Sans"/>
          <w:b w:val="0"/>
          <w:i w:val="0"/>
          <w:color w:val="1A1A1A"/>
          <w:sz w:val="22"/>
        </w:rPr>
        <w:t>Strong performance can coexist with flat formation. A role can value you and still stop building you.</w:t>
      </w:r>
    </w:p>
    <w:p>
      <w:pPr>
        <w:spacing w:after="120" w:before="0" w:line="336" w:lineRule="auto"/>
      </w:pPr>
      <w:r>
        <w:rPr>
          <w:rFonts w:ascii="DM Sans" w:hAnsi="DM Sans" w:cs="DM Sans"/>
          <w:b w:val="0"/>
          <w:i w:val="0"/>
          <w:color w:val="1A1A1A"/>
          <w:sz w:val="22"/>
        </w:rPr>
        <w:t>Before you decide whether to stay in your current role or make a move, it is worth reading what the role is actually forming in you and whether what it built travels.</w:t>
      </w:r>
    </w:p>
    <w:p>
      <w:pPr>
        <w:spacing w:after="120" w:before="0" w:line="336" w:lineRule="auto"/>
      </w:pPr>
      <w:r>
        <w:rPr>
          <w:rFonts w:ascii="DM Sans" w:hAnsi="DM Sans" w:cs="DM Sans"/>
          <w:b w:val="0"/>
          <w:i w:val="0"/>
          <w:color w:val="1A1A1A"/>
          <w:sz w:val="22"/>
        </w:rPr>
        <w:t>This free 30-minute lesson introduces three misreadings capable professionals make. Scoring the intended life. Confusing being valued with being formed. Reading low Optionality as a verdict on ability.</w:t>
      </w:r>
    </w:p>
    <w:p>
      <w:pPr>
        <w:spacing w:after="120" w:before="0" w:line="336" w:lineRule="auto"/>
      </w:pPr>
      <w:r>
        <w:rPr>
          <w:rFonts w:ascii="DM Sans" w:hAnsi="DM Sans" w:cs="DM Sans"/>
          <w:b w:val="0"/>
          <w:i w:val="0"/>
          <w:color w:val="1A1A1A"/>
          <w:sz w:val="22"/>
        </w:rPr>
        <w:t>You will leave with a clearer picture of your own pattern. You will not leave with a diagnostic result. That is the paid workshop.</w:t>
      </w:r>
    </w:p>
    <w:p>
      <w:pPr>
        <w:spacing w:after="120" w:before="0" w:line="336" w:lineRule="auto"/>
      </w:pPr>
      <w:r>
        <w:rPr>
          <w:rFonts w:ascii="DM Sans" w:hAnsi="DM Sans" w:cs="DM Sans"/>
          <w:b w:val="0"/>
          <w:i w:val="0"/>
          <w:color w:val="1A1A1A"/>
          <w:sz w:val="22"/>
        </w:rPr>
        <w:t>September 16. Free. 30 minutes. Optional 10-minute Q&amp;A after.</w:t>
      </w:r>
    </w:p>
    <w:p>
      <w:pPr>
        <w:spacing w:after="120" w:before="0" w:line="336" w:lineRule="auto"/>
      </w:pPr>
      <w:r>
        <w:rPr>
          <w:rFonts w:ascii="DM Sans" w:hAnsi="DM Sans" w:cs="DM Sans"/>
          <w:b w:val="0"/>
          <w:i w:val="0"/>
          <w:color w:val="1A1A1A"/>
          <w:sz w:val="22"/>
        </w:rPr>
        <w:t>[Register, free]</w:t>
      </w:r>
    </w:p>
    <w:p>
      <w:pPr>
        <w:spacing w:after="120" w:before="200" w:line="312" w:lineRule="auto"/>
      </w:pPr>
      <w:r>
        <w:rPr>
          <w:rFonts w:ascii="DM Sans" w:hAnsi="DM Sans" w:cs="DM Sans"/>
          <w:b/>
          <w:i w:val="0"/>
          <w:color w:val="C9A84C"/>
          <w:sz w:val="18"/>
          <w:spacing w:val="40"/>
        </w:rPr>
        <w:t>SHORT SOCIAL POST (150 words or fewer)</w:t>
      </w:r>
    </w:p>
    <w:p>
      <w:pPr>
        <w:spacing w:after="120" w:before="0" w:line="336" w:lineRule="auto"/>
      </w:pPr>
      <w:r>
        <w:rPr>
          <w:rFonts w:ascii="DM Sans" w:hAnsi="DM Sans" w:cs="DM Sans"/>
          <w:b w:val="0"/>
          <w:i w:val="0"/>
          <w:color w:val="1A1A1A"/>
          <w:sz w:val="22"/>
        </w:rPr>
        <w:t>A free 30-minute lesson for people who are performing well and quietly uncertain whether the role is still building them.</w:t>
      </w:r>
    </w:p>
    <w:p>
      <w:pPr>
        <w:spacing w:after="120" w:before="0" w:line="336" w:lineRule="auto"/>
      </w:pPr>
      <w:r>
        <w:rPr>
          <w:rFonts w:ascii="DM Sans" w:hAnsi="DM Sans" w:cs="DM Sans"/>
          <w:b w:val="0"/>
          <w:i w:val="0"/>
          <w:color w:val="1A1A1A"/>
          <w:sz w:val="22"/>
        </w:rPr>
        <w:t>Not a career-coaching webinar. Not a diagnostic. A careful look at three ways capable professionals misread their own position.</w:t>
      </w:r>
    </w:p>
    <w:p>
      <w:pPr>
        <w:spacing w:after="120" w:before="0" w:line="336" w:lineRule="auto"/>
      </w:pPr>
      <w:r>
        <w:rPr>
          <w:rFonts w:ascii="DM Sans" w:hAnsi="DM Sans" w:cs="DM Sans"/>
          <w:b w:val="0"/>
          <w:i w:val="0"/>
          <w:color w:val="1A1A1A"/>
          <w:sz w:val="22"/>
        </w:rPr>
        <w:t>September 16. Free. [Register]</w:t>
      </w:r>
    </w:p>
    <w:p>
      <w:pPr>
        <w:spacing w:after="120" w:before="200" w:line="312" w:lineRule="auto"/>
      </w:pPr>
      <w:r>
        <w:rPr>
          <w:rFonts w:ascii="DM Sans" w:hAnsi="DM Sans" w:cs="DM Sans"/>
          <w:b/>
          <w:i w:val="0"/>
          <w:color w:val="C9A84C"/>
          <w:sz w:val="18"/>
          <w:spacing w:val="40"/>
        </w:rPr>
        <w:t>MICROCOPY (buttons, chips, calendar hold)</w:t>
      </w:r>
    </w:p>
    <w:p>
      <w:pPr>
        <w:spacing w:after="120" w:before="0" w:line="336" w:lineRule="auto"/>
      </w:pPr>
      <w:r>
        <w:rPr>
          <w:rFonts w:ascii="DM Sans" w:hAnsi="DM Sans" w:cs="DM Sans"/>
          <w:b w:val="0"/>
          <w:i w:val="0"/>
          <w:color w:val="1A1A1A"/>
          <w:sz w:val="22"/>
        </w:rPr>
        <w:t>Button: Register (free)</w:t>
      </w:r>
    </w:p>
    <w:p>
      <w:pPr>
        <w:spacing w:after="120" w:before="0" w:line="336" w:lineRule="auto"/>
      </w:pPr>
      <w:r>
        <w:rPr>
          <w:rFonts w:ascii="DM Sans" w:hAnsi="DM Sans" w:cs="DM Sans"/>
          <w:b w:val="0"/>
          <w:i w:val="0"/>
          <w:color w:val="1A1A1A"/>
          <w:sz w:val="22"/>
        </w:rPr>
        <w:t>Chip: 30 min | Free preview</w:t>
      </w:r>
    </w:p>
    <w:p>
      <w:pPr>
        <w:spacing w:after="120" w:before="0" w:line="336" w:lineRule="auto"/>
      </w:pPr>
      <w:r>
        <w:rPr>
          <w:rFonts w:ascii="DM Sans" w:hAnsi="DM Sans" w:cs="DM Sans"/>
          <w:b w:val="0"/>
          <w:i w:val="0"/>
          <w:color w:val="1A1A1A"/>
          <w:sz w:val="22"/>
        </w:rPr>
        <w:t>Calendar hold: Is Your Work Still Building You? A free preview of the Capability Position Read.</w:t>
      </w:r>
    </w:p>
    <w:p>
      <w:pPr>
        <w:spacing w:after="120" w:before="200" w:line="312" w:lineRule="auto"/>
      </w:pPr>
      <w:r>
        <w:rPr>
          <w:rFonts w:ascii="DM Sans" w:hAnsi="DM Sans" w:cs="DM Sans"/>
          <w:b/>
          <w:i w:val="0"/>
          <w:color w:val="C9A84C"/>
          <w:sz w:val="18"/>
          <w:spacing w:val="40"/>
        </w:rPr>
        <w:t>POST-SESSION CTA (for the follow-up email to attendees)</w:t>
      </w:r>
    </w:p>
    <w:p>
      <w:pPr>
        <w:spacing w:after="120" w:before="0" w:line="336" w:lineRule="auto"/>
      </w:pPr>
      <w:r>
        <w:rPr>
          <w:rFonts w:ascii="DM Sans" w:hAnsi="DM Sans" w:cs="DM Sans"/>
          <w:b w:val="0"/>
          <w:i w:val="0"/>
          <w:color w:val="1A1A1A"/>
          <w:sz w:val="22"/>
        </w:rPr>
        <w:t>Thank you for showing up carefully.</w:t>
      </w:r>
    </w:p>
    <w:p>
      <w:pPr>
        <w:spacing w:after="120" w:before="0" w:line="336" w:lineRule="auto"/>
      </w:pPr>
      <w:r>
        <w:rPr>
          <w:rFonts w:ascii="DM Sans" w:hAnsi="DM Sans" w:cs="DM Sans"/>
          <w:b w:val="0"/>
          <w:i w:val="0"/>
          <w:color w:val="1A1A1A"/>
          <w:sz w:val="22"/>
        </w:rPr>
        <w:t>If today’s lesson helped you notice a pattern, the full Position Read is where that pattern gets examined with evidence. Should I Stay or Should I Move? A Live Capability Position Read.</w:t>
      </w:r>
    </w:p>
    <w:p>
      <w:pPr>
        <w:spacing w:after="120" w:before="0" w:line="336" w:lineRule="auto"/>
      </w:pPr>
      <w:r>
        <w:rPr>
          <w:rFonts w:ascii="DM Sans" w:hAnsi="DM Sans" w:cs="DM Sans"/>
          <w:b w:val="0"/>
          <w:i w:val="0"/>
          <w:color w:val="1A1A1A"/>
          <w:sz w:val="22"/>
        </w:rPr>
        <w:t>Read what your current work is building before you decide.</w:t>
      </w:r>
    </w:p>
    <w:p>
      <w:pPr>
        <w:spacing w:after="120" w:before="0" w:line="336" w:lineRule="auto"/>
      </w:pPr>
      <w:r>
        <w:rPr>
          <w:rFonts w:ascii="DM Sans" w:hAnsi="DM Sans" w:cs="DM Sans"/>
          <w:b w:val="0"/>
          <w:i w:val="0"/>
          <w:color w:val="1A1A1A"/>
          <w:sz w:val="22"/>
        </w:rPr>
        <w:t>[Join the interest list / Register for the paid workshop]</w:t>
      </w:r>
    </w:p>
    <w:p>
      <w:pPr>
        <w:spacing w:after="120" w:before="200" w:line="312" w:lineRule="auto"/>
      </w:pPr>
      <w:r>
        <w:rPr>
          <w:rFonts w:ascii="DM Sans" w:hAnsi="DM Sans" w:cs="DM Sans"/>
          <w:b/>
          <w:i w:val="0"/>
          <w:color w:val="C9A84C"/>
          <w:sz w:val="18"/>
          <w:spacing w:val="40"/>
        </w:rPr>
        <w:t>WHAT TO AVOID IN ALL PROMO COPY</w:t>
      </w:r>
    </w:p>
    <w:p>
      <w:pPr>
        <w:spacing w:after="120" w:before="0" w:line="336" w:lineRule="auto"/>
      </w:pPr>
      <w:r>
        <w:rPr>
          <w:rFonts w:ascii="DM Sans" w:hAnsi="DM Sans" w:cs="DM Sans"/>
          <w:b w:val="0"/>
          <w:i w:val="0"/>
          <w:color w:val="1A1A1A"/>
          <w:sz w:val="22"/>
        </w:rPr>
        <w:t>No layoff framing.</w:t>
      </w:r>
    </w:p>
    <w:p>
      <w:pPr>
        <w:spacing w:after="120" w:before="0" w:line="336" w:lineRule="auto"/>
      </w:pPr>
      <w:r>
        <w:rPr>
          <w:rFonts w:ascii="DM Sans" w:hAnsi="DM Sans" w:cs="DM Sans"/>
          <w:b w:val="0"/>
          <w:i w:val="0"/>
          <w:color w:val="1A1A1A"/>
          <w:sz w:val="22"/>
        </w:rPr>
        <w:t>No urgency or scarcity language.</w:t>
      </w:r>
    </w:p>
    <w:p>
      <w:pPr>
        <w:spacing w:after="120" w:before="0" w:line="336" w:lineRule="auto"/>
      </w:pPr>
      <w:r>
        <w:rPr>
          <w:rFonts w:ascii="DM Sans" w:hAnsi="DM Sans" w:cs="DM Sans"/>
          <w:b w:val="0"/>
          <w:i w:val="0"/>
          <w:color w:val="1A1A1A"/>
          <w:sz w:val="22"/>
        </w:rPr>
        <w:t>No motivational or generic career-coach verbs. The reference tone list applies.</w:t>
      </w:r>
    </w:p>
    <w:p>
      <w:pPr>
        <w:spacing w:after="120" w:before="0" w:line="336" w:lineRule="auto"/>
      </w:pPr>
      <w:r>
        <w:rPr>
          <w:rFonts w:ascii="DM Sans" w:hAnsi="DM Sans" w:cs="DM Sans"/>
          <w:b w:val="0"/>
          <w:i w:val="0"/>
          <w:color w:val="1A1A1A"/>
          <w:sz w:val="22"/>
        </w:rPr>
        <w:t>No inverted contrast constructions (the it-is-not-X-it-is-Y form).</w:t>
      </w:r>
    </w:p>
    <w:p>
      <w:pPr>
        <w:spacing w:after="120" w:before="0" w:line="336" w:lineRule="auto"/>
      </w:pPr>
      <w:r>
        <w:rPr>
          <w:rFonts w:ascii="DM Sans" w:hAnsi="DM Sans" w:cs="DM Sans"/>
          <w:b w:val="0"/>
          <w:i w:val="0"/>
          <w:color w:val="1A1A1A"/>
          <w:sz w:val="22"/>
        </w:rPr>
        <w:t>No promise of a personalized result from the free session.</w:t>
      </w:r>
    </w:p>
    <w:p>
      <w:pPr>
        <w:spacing w:after="120" w:before="0" w:line="336" w:lineRule="auto"/>
      </w:pPr>
      <w:r>
        <w:rPr>
          <w:rFonts w:ascii="DM Sans" w:hAnsi="DM Sans" w:cs="DM Sans"/>
          <w:b w:val="0"/>
          <w:i w:val="0"/>
          <w:color w:val="1A1A1A"/>
          <w:sz w:val="22"/>
        </w:rPr>
        <w:t>No em dashes.</w:t>
      </w:r>
    </w:p>
    <w:p>
      <w:pPr>
        <w:pBdr>
          <w:bottom w:val="single" w:sz="6" w:space="1" w:color="C9A84C"/>
        </w:pBdr>
        <w:spacing w:after="120"/>
      </w:pPr>
    </w:p>
    <w:p>
      <w:pPr>
        <w:spacing w:after="120" w:before="120" w:line="312" w:lineRule="auto"/>
      </w:pPr>
      <w:r>
        <w:rPr>
          <w:rFonts w:ascii="DM Sans" w:hAnsi="DM Sans" w:cs="DM Sans"/>
          <w:b w:val="0"/>
          <w:i w:val="0"/>
          <w:color w:val="4A4A4A"/>
          <w:sz w:val="16"/>
          <w:spacing w:val="30"/>
        </w:rPr>
        <w:t>TEMIDAYO AFONJA   |   TEMIDAYOAFONJA.COM   |   PROMO COPY v1.0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