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12" w:lineRule="auto"/>
      </w:pPr>
      <w:r>
        <w:rPr>
          <w:rFonts w:ascii="DM Sans" w:hAnsi="DM Sans" w:cs="DM Sans"/>
          <w:b/>
          <w:i w:val="0"/>
          <w:color w:val="C9A84C"/>
          <w:sz w:val="18"/>
          <w:spacing w:val="40"/>
        </w:rPr>
        <w:t>FACILITATOR RUN OF SHOW</w:t>
      </w:r>
    </w:p>
    <w:p>
      <w:pPr>
        <w:spacing w:after="40" w:before="0" w:line="252" w:lineRule="auto"/>
      </w:pPr>
      <w:r>
        <w:rPr>
          <w:rFonts w:ascii="Cormorant Garamond" w:hAnsi="Cormorant Garamond" w:cs="Cormorant Garamond"/>
          <w:b w:val="0"/>
          <w:i w:val="0"/>
          <w:color w:val="0F2347"/>
          <w:sz w:val="44"/>
        </w:rPr>
        <w:t>Is Your Work Still Building You?</w:t>
      </w:r>
    </w:p>
    <w:p>
      <w:pPr>
        <w:spacing w:after="200" w:before="0" w:line="312" w:lineRule="auto"/>
      </w:pPr>
      <w:r>
        <w:rPr>
          <w:rFonts w:ascii="Cormorant Garamond" w:hAnsi="Cormorant Garamond" w:cs="Cormorant Garamond"/>
          <w:b w:val="0"/>
          <w:i/>
          <w:color w:val="4A4A4A"/>
          <w:sz w:val="28"/>
        </w:rPr>
        <w:t>Free Lightning Lesson  |  30 minutes  |  v1.0</w:t>
      </w:r>
    </w:p>
    <w:p>
      <w:pPr>
        <w:pBdr>
          <w:bottom w:val="single" w:sz="6" w:space="1" w:color="C9A84C"/>
        </w:pBdr>
        <w:spacing w:after="120"/>
      </w:pPr>
    </w:p>
    <w:p>
      <w:pPr>
        <w:spacing w:after="120" w:before="160" w:line="312" w:lineRule="auto"/>
      </w:pPr>
      <w:r>
        <w:rPr>
          <w:rFonts w:ascii="DM Sans" w:hAnsi="DM Sans" w:cs="DM Sans"/>
          <w:b/>
          <w:i w:val="0"/>
          <w:color w:val="C9A84C"/>
          <w:sz w:val="18"/>
          <w:spacing w:val="40"/>
        </w:rPr>
        <w:t>DELIVERY FRAME</w:t>
      </w:r>
    </w:p>
    <w:p>
      <w:pPr>
        <w:spacing w:after="120" w:before="0" w:line="312" w:lineRule="auto"/>
      </w:pPr>
      <w:r>
        <w:rPr>
          <w:rFonts w:ascii="DM Sans" w:hAnsi="DM Sans" w:cs="DM Sans"/>
          <w:b/>
          <w:i w:val="0"/>
          <w:color w:val="0F2347"/>
          <w:sz w:val="22"/>
        </w:rPr>
        <w:t xml:space="preserve">Room. </w:t>
      </w:r>
      <w:r>
        <w:rPr>
          <w:rFonts w:ascii="DM Sans" w:hAnsi="DM Sans" w:cs="DM Sans"/>
          <w:b w:val="0"/>
          <w:i w:val="0"/>
          <w:color w:val="1A1A1A"/>
          <w:sz w:val="22"/>
        </w:rPr>
        <w:t>Zoom or equivalent. Camera on. No polls that collect scores. No breakouts.</w:t>
      </w:r>
    </w:p>
    <w:p>
      <w:pPr>
        <w:spacing w:after="120" w:before="0" w:line="312" w:lineRule="auto"/>
      </w:pPr>
      <w:r>
        <w:rPr>
          <w:rFonts w:ascii="DM Sans" w:hAnsi="DM Sans" w:cs="DM Sans"/>
          <w:b/>
          <w:i w:val="0"/>
          <w:color w:val="0F2347"/>
          <w:sz w:val="22"/>
        </w:rPr>
        <w:t xml:space="preserve">Duration. </w:t>
      </w:r>
      <w:r>
        <w:rPr>
          <w:rFonts w:ascii="DM Sans" w:hAnsi="DM Sans" w:cs="DM Sans"/>
          <w:b w:val="0"/>
          <w:i w:val="0"/>
          <w:color w:val="1A1A1A"/>
          <w:sz w:val="22"/>
        </w:rPr>
        <w:t>Thirty minutes for the core lesson. Optional ten-minute Q&amp;A after.</w:t>
      </w:r>
    </w:p>
    <w:p>
      <w:pPr>
        <w:spacing w:after="120" w:before="0" w:line="312" w:lineRule="auto"/>
      </w:pPr>
      <w:r>
        <w:rPr>
          <w:rFonts w:ascii="DM Sans" w:hAnsi="DM Sans" w:cs="DM Sans"/>
          <w:b/>
          <w:i w:val="0"/>
          <w:color w:val="0F2347"/>
          <w:sz w:val="22"/>
        </w:rPr>
        <w:t xml:space="preserve">Materials. </w:t>
      </w:r>
      <w:r>
        <w:rPr>
          <w:rFonts w:ascii="DM Sans" w:hAnsi="DM Sans" w:cs="DM Sans"/>
          <w:b w:val="0"/>
          <w:i w:val="0"/>
          <w:color w:val="1A1A1A"/>
          <w:sz w:val="22"/>
        </w:rPr>
        <w:t>Deck (v1.0). One-page participant handout (PDF).</w:t>
      </w:r>
    </w:p>
    <w:p>
      <w:pPr>
        <w:spacing w:after="120" w:before="0" w:line="312" w:lineRule="auto"/>
      </w:pPr>
      <w:r>
        <w:rPr>
          <w:rFonts w:ascii="DM Sans" w:hAnsi="DM Sans" w:cs="DM Sans"/>
          <w:b/>
          <w:i w:val="0"/>
          <w:color w:val="0F2347"/>
          <w:sz w:val="22"/>
        </w:rPr>
        <w:t xml:space="preserve">Facilitator posture. </w:t>
      </w:r>
      <w:r>
        <w:rPr>
          <w:rFonts w:ascii="DM Sans" w:hAnsi="DM Sans" w:cs="DM Sans"/>
          <w:b w:val="0"/>
          <w:i w:val="0"/>
          <w:color w:val="1A1A1A"/>
          <w:sz w:val="22"/>
        </w:rPr>
        <w:t>Calm, precise, unhurried. This is not a webinar. Silence is allowed.</w:t>
      </w:r>
    </w:p>
    <w:p>
      <w:pPr>
        <w:spacing w:after="120" w:before="0" w:line="312" w:lineRule="auto"/>
      </w:pPr>
      <w:r>
        <w:rPr>
          <w:rFonts w:ascii="DM Sans" w:hAnsi="DM Sans" w:cs="DM Sans"/>
          <w:b/>
          <w:i w:val="0"/>
          <w:color w:val="0F2347"/>
          <w:sz w:val="22"/>
        </w:rPr>
        <w:t xml:space="preserve">Boundary discipline. </w:t>
      </w:r>
      <w:r>
        <w:rPr>
          <w:rFonts w:ascii="DM Sans" w:hAnsi="DM Sans" w:cs="DM Sans"/>
          <w:b w:val="0"/>
          <w:i w:val="0"/>
          <w:color w:val="1A1A1A"/>
          <w:sz w:val="22"/>
        </w:rPr>
        <w:t>Do not diagnose anyone. Do not score anyone. Do not tell anyone whether to stay or leave. Redirect all such asks to the paid workshop.</w:t>
      </w:r>
    </w:p>
    <w:p>
      <w:pPr>
        <w:pBdr>
          <w:bottom w:val="single" w:sz="6" w:space="1" w:color="C9A84C"/>
        </w:pBdr>
        <w:spacing w:after="120"/>
      </w:pPr>
    </w:p>
    <w:p>
      <w:pPr>
        <w:spacing w:after="120" w:before="160" w:line="312" w:lineRule="auto"/>
      </w:pPr>
      <w:r>
        <w:rPr>
          <w:rFonts w:ascii="DM Sans" w:hAnsi="DM Sans" w:cs="DM Sans"/>
          <w:b/>
          <w:i w:val="0"/>
          <w:color w:val="C9A84C"/>
          <w:sz w:val="18"/>
          <w:spacing w:val="40"/>
        </w:rPr>
        <w:t>SEGMENTS</w:t>
      </w:r>
    </w:p>
    <w:p>
      <w:pPr>
        <w:spacing w:after="40" w:before="160" w:line="312" w:lineRule="auto"/>
      </w:pPr>
      <w:r>
        <w:rPr>
          <w:rFonts w:ascii="DM Sans" w:hAnsi="DM Sans" w:cs="DM Sans"/>
          <w:b/>
          <w:i w:val="0"/>
          <w:color w:val="C1440E"/>
          <w:sz w:val="20"/>
          <w:spacing w:val="30"/>
        </w:rPr>
        <w:t xml:space="preserve">0–3 min.  </w:t>
      </w:r>
      <w:r>
        <w:rPr>
          <w:rFonts w:ascii="Cormorant Garamond" w:hAnsi="Cormorant Garamond" w:cs="Cormorant Garamond"/>
          <w:b w:val="0"/>
          <w:i/>
          <w:color w:val="0F2347"/>
          <w:sz w:val="30"/>
        </w:rPr>
        <w:t>Welcome, boundary, promise.</w:t>
      </w:r>
    </w:p>
    <w:p>
      <w:pPr>
        <w:spacing w:after="80" w:before="0" w:line="312" w:lineRule="auto"/>
      </w:pPr>
      <w:r>
        <w:rPr>
          <w:rFonts w:ascii="DM Sans" w:hAnsi="DM Sans" w:cs="DM Sans"/>
          <w:b w:val="0"/>
          <w:i w:val="0"/>
          <w:color w:val="4A4A4A"/>
          <w:sz w:val="18"/>
          <w:spacing w:val="30"/>
        </w:rPr>
        <w:t>Slides 1–2</w:t>
      </w:r>
    </w:p>
    <w:p>
      <w:pPr>
        <w:spacing w:after="4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Open on time. Do not restate the title theatrically.</w:t>
      </w:r>
    </w:p>
    <w:p>
      <w:pPr>
        <w:spacing w:after="4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Read the boundary slide slowly. Let it stand.</w:t>
      </w:r>
    </w:p>
    <w:p>
      <w:pPr>
        <w:spacing w:after="4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Do not soften with reassurance about how much you will cover.</w:t>
      </w:r>
    </w:p>
    <w:p>
      <w:pPr>
        <w:spacing w:after="40" w:before="160" w:line="312" w:lineRule="auto"/>
      </w:pPr>
      <w:r>
        <w:rPr>
          <w:rFonts w:ascii="DM Sans" w:hAnsi="DM Sans" w:cs="DM Sans"/>
          <w:b/>
          <w:i w:val="0"/>
          <w:color w:val="C1440E"/>
          <w:sz w:val="20"/>
          <w:spacing w:val="30"/>
        </w:rPr>
        <w:t xml:space="preserve">3–7 min.  </w:t>
      </w:r>
      <w:r>
        <w:rPr>
          <w:rFonts w:ascii="Cormorant Garamond" w:hAnsi="Cormorant Garamond" w:cs="Cormorant Garamond"/>
          <w:b w:val="0"/>
          <w:i/>
          <w:color w:val="0F2347"/>
          <w:sz w:val="30"/>
        </w:rPr>
        <w:t>Why the stay-or-move question is fair but incomplete.</w:t>
      </w:r>
    </w:p>
    <w:p>
      <w:pPr>
        <w:spacing w:after="80" w:before="0" w:line="312" w:lineRule="auto"/>
      </w:pPr>
      <w:r>
        <w:rPr>
          <w:rFonts w:ascii="DM Sans" w:hAnsi="DM Sans" w:cs="DM Sans"/>
          <w:b w:val="0"/>
          <w:i w:val="0"/>
          <w:color w:val="4A4A4A"/>
          <w:sz w:val="18"/>
          <w:spacing w:val="30"/>
        </w:rPr>
        <w:t>Slides 3–5</w:t>
      </w:r>
    </w:p>
    <w:p>
      <w:pPr>
        <w:spacing w:after="4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State the question underneath the question. Honour the surface question.</w:t>
      </w:r>
    </w:p>
    <w:p>
      <w:pPr>
        <w:spacing w:after="4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Density and Optionality are introduced as vocabulary only. No scoring.</w:t>
      </w:r>
    </w:p>
    <w:p>
      <w:pPr>
        <w:spacing w:after="4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If a participant asks for the instrument in chat, redirect: “That is the paid Position Read.”</w:t>
      </w:r>
    </w:p>
    <w:p>
      <w:pPr>
        <w:spacing w:after="40" w:before="160" w:line="312" w:lineRule="auto"/>
      </w:pPr>
      <w:r>
        <w:rPr>
          <w:rFonts w:ascii="DM Sans" w:hAnsi="DM Sans" w:cs="DM Sans"/>
          <w:b/>
          <w:i w:val="0"/>
          <w:color w:val="C1440E"/>
          <w:sz w:val="20"/>
          <w:spacing w:val="30"/>
        </w:rPr>
        <w:t xml:space="preserve">7–12 min.  </w:t>
      </w:r>
      <w:r>
        <w:rPr>
          <w:rFonts w:ascii="Cormorant Garamond" w:hAnsi="Cormorant Garamond" w:cs="Cormorant Garamond"/>
          <w:b w:val="0"/>
          <w:i/>
          <w:color w:val="0F2347"/>
          <w:sz w:val="30"/>
        </w:rPr>
        <w:t>Misreading 1. Scoring the intended life.</w:t>
      </w:r>
    </w:p>
    <w:p>
      <w:pPr>
        <w:spacing w:after="80" w:before="0" w:line="312" w:lineRule="auto"/>
      </w:pPr>
      <w:r>
        <w:rPr>
          <w:rFonts w:ascii="DM Sans" w:hAnsi="DM Sans" w:cs="DM Sans"/>
          <w:b w:val="0"/>
          <w:i w:val="0"/>
          <w:color w:val="4A4A4A"/>
          <w:sz w:val="18"/>
          <w:spacing w:val="30"/>
        </w:rPr>
        <w:t>Slides 6–7</w:t>
      </w:r>
    </w:p>
    <w:p>
      <w:pPr>
        <w:spacing w:after="4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Give the example verbatim. Do not paraphrase.</w:t>
      </w:r>
    </w:p>
    <w:p>
      <w:pPr>
        <w:spacing w:after="4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State the correction in a level tone: intention is not evidence.</w:t>
      </w:r>
    </w:p>
    <w:p>
      <w:pPr>
        <w:spacing w:after="4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Hold the sixty-second reflection pause. Do not fill the silence.</w:t>
      </w:r>
    </w:p>
    <w:p>
      <w:pPr>
        <w:spacing w:after="40" w:before="160" w:line="312" w:lineRule="auto"/>
      </w:pPr>
      <w:r>
        <w:rPr>
          <w:rFonts w:ascii="DM Sans" w:hAnsi="DM Sans" w:cs="DM Sans"/>
          <w:b/>
          <w:i w:val="0"/>
          <w:color w:val="C1440E"/>
          <w:sz w:val="20"/>
          <w:spacing w:val="30"/>
        </w:rPr>
        <w:t xml:space="preserve">12–17 min.  </w:t>
      </w:r>
      <w:r>
        <w:rPr>
          <w:rFonts w:ascii="Cormorant Garamond" w:hAnsi="Cormorant Garamond" w:cs="Cormorant Garamond"/>
          <w:b w:val="0"/>
          <w:i/>
          <w:color w:val="0F2347"/>
          <w:sz w:val="30"/>
        </w:rPr>
        <w:t>Misreading 2. Confusing being valued with being formed.</w:t>
      </w:r>
    </w:p>
    <w:p>
      <w:pPr>
        <w:spacing w:after="80" w:before="0" w:line="312" w:lineRule="auto"/>
      </w:pPr>
      <w:r>
        <w:rPr>
          <w:rFonts w:ascii="DM Sans" w:hAnsi="DM Sans" w:cs="DM Sans"/>
          <w:b w:val="0"/>
          <w:i w:val="0"/>
          <w:color w:val="4A4A4A"/>
          <w:sz w:val="18"/>
          <w:spacing w:val="30"/>
        </w:rPr>
        <w:t>Slides 8–9</w:t>
      </w:r>
    </w:p>
    <w:p>
      <w:pPr>
        <w:spacing w:after="4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Separate value from formation. They can rise together. They can also decouple.</w:t>
      </w:r>
    </w:p>
    <w:p>
      <w:pPr>
        <w:spacing w:after="4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Bring in the promotion application briefly. Do not turn it into its own module.</w:t>
      </w:r>
    </w:p>
    <w:p>
      <w:pPr>
        <w:spacing w:after="4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Do not tell anyone their promotion was a mistake.</w:t>
      </w:r>
    </w:p>
    <w:p>
      <w:pPr>
        <w:spacing w:after="40" w:before="160" w:line="312" w:lineRule="auto"/>
      </w:pPr>
      <w:r>
        <w:rPr>
          <w:rFonts w:ascii="DM Sans" w:hAnsi="DM Sans" w:cs="DM Sans"/>
          <w:b/>
          <w:i w:val="0"/>
          <w:color w:val="C1440E"/>
          <w:sz w:val="20"/>
          <w:spacing w:val="30"/>
        </w:rPr>
        <w:t xml:space="preserve">17–22 min.  </w:t>
      </w:r>
      <w:r>
        <w:rPr>
          <w:rFonts w:ascii="Cormorant Garamond" w:hAnsi="Cormorant Garamond" w:cs="Cormorant Garamond"/>
          <w:b w:val="0"/>
          <w:i/>
          <w:color w:val="0F2347"/>
          <w:sz w:val="30"/>
        </w:rPr>
        <w:t>Misreading 3. Reading low Optionality as a verdict on ability.</w:t>
      </w:r>
    </w:p>
    <w:p>
      <w:pPr>
        <w:spacing w:after="80" w:before="0" w:line="312" w:lineRule="auto"/>
      </w:pPr>
      <w:r>
        <w:rPr>
          <w:rFonts w:ascii="DM Sans" w:hAnsi="DM Sans" w:cs="DM Sans"/>
          <w:b w:val="0"/>
          <w:i w:val="0"/>
          <w:color w:val="4A4A4A"/>
          <w:sz w:val="18"/>
          <w:spacing w:val="30"/>
        </w:rPr>
        <w:t>Slide 10</w:t>
      </w:r>
    </w:p>
    <w:p>
      <w:pPr>
        <w:spacing w:after="4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Emphasize: the reading is separate from the verdict.</w:t>
      </w:r>
    </w:p>
    <w:p>
      <w:pPr>
        <w:spacing w:after="4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Name the causes on the slide. Do not add new ones on the fly.</w:t>
      </w:r>
    </w:p>
    <w:p>
      <w:pPr>
        <w:spacing w:after="4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If a participant sounds shaken in chat, keep moving. The reflection exercise is where they will return to it.</w:t>
      </w:r>
    </w:p>
    <w:p>
      <w:pPr>
        <w:spacing w:after="40" w:before="160" w:line="312" w:lineRule="auto"/>
      </w:pPr>
      <w:r>
        <w:rPr>
          <w:rFonts w:ascii="DM Sans" w:hAnsi="DM Sans" w:cs="DM Sans"/>
          <w:b/>
          <w:i w:val="0"/>
          <w:color w:val="C1440E"/>
          <w:sz w:val="20"/>
          <w:spacing w:val="30"/>
        </w:rPr>
        <w:t xml:space="preserve">22–24 min.  </w:t>
      </w:r>
      <w:r>
        <w:rPr>
          <w:rFonts w:ascii="Cormorant Garamond" w:hAnsi="Cormorant Garamond" w:cs="Cormorant Garamond"/>
          <w:b w:val="0"/>
          <w:i/>
          <w:color w:val="0F2347"/>
          <w:sz w:val="30"/>
        </w:rPr>
        <w:t>AI application.</w:t>
      </w:r>
    </w:p>
    <w:p>
      <w:pPr>
        <w:spacing w:after="80" w:before="0" w:line="312" w:lineRule="auto"/>
      </w:pPr>
      <w:r>
        <w:rPr>
          <w:rFonts w:ascii="DM Sans" w:hAnsi="DM Sans" w:cs="DM Sans"/>
          <w:b w:val="0"/>
          <w:i w:val="0"/>
          <w:color w:val="4A4A4A"/>
          <w:sz w:val="18"/>
          <w:spacing w:val="30"/>
        </w:rPr>
        <w:t>Slide 11</w:t>
      </w:r>
    </w:p>
    <w:p>
      <w:pPr>
        <w:spacing w:after="4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Keep this short. No tools. No prompts. No layoff prediction.</w:t>
      </w:r>
    </w:p>
    <w:p>
      <w:pPr>
        <w:spacing w:after="4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The point is which parts of capability now carry more weight.</w:t>
      </w:r>
    </w:p>
    <w:p>
      <w:pPr>
        <w:spacing w:after="40" w:before="160" w:line="312" w:lineRule="auto"/>
      </w:pPr>
      <w:r>
        <w:rPr>
          <w:rFonts w:ascii="DM Sans" w:hAnsi="DM Sans" w:cs="DM Sans"/>
          <w:b/>
          <w:i w:val="0"/>
          <w:color w:val="C1440E"/>
          <w:sz w:val="20"/>
          <w:spacing w:val="30"/>
        </w:rPr>
        <w:t xml:space="preserve">24–28 min.  </w:t>
      </w:r>
      <w:r>
        <w:rPr>
          <w:rFonts w:ascii="Cormorant Garamond" w:hAnsi="Cormorant Garamond" w:cs="Cormorant Garamond"/>
          <w:b w:val="0"/>
          <w:i/>
          <w:color w:val="0F2347"/>
          <w:sz w:val="30"/>
        </w:rPr>
        <w:t>Recognition exercise.</w:t>
      </w:r>
    </w:p>
    <w:p>
      <w:pPr>
        <w:spacing w:after="80" w:before="0" w:line="312" w:lineRule="auto"/>
      </w:pPr>
      <w:r>
        <w:rPr>
          <w:rFonts w:ascii="DM Sans" w:hAnsi="DM Sans" w:cs="DM Sans"/>
          <w:b w:val="0"/>
          <w:i w:val="0"/>
          <w:color w:val="4A4A4A"/>
          <w:sz w:val="18"/>
          <w:spacing w:val="30"/>
        </w:rPr>
        <w:t>Slide 12</w:t>
      </w:r>
    </w:p>
    <w:p>
      <w:pPr>
        <w:spacing w:after="4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Four minutes. Write. No sharing. No calling on people.</w:t>
      </w:r>
    </w:p>
    <w:p>
      <w:pPr>
        <w:spacing w:after="4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Do not read the questions aloud more than once.</w:t>
      </w:r>
    </w:p>
    <w:p>
      <w:pPr>
        <w:spacing w:after="4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If people finish early, let them sit with what came up.</w:t>
      </w:r>
    </w:p>
    <w:p>
      <w:pPr>
        <w:spacing w:after="40" w:before="160" w:line="312" w:lineRule="auto"/>
      </w:pPr>
      <w:r>
        <w:rPr>
          <w:rFonts w:ascii="DM Sans" w:hAnsi="DM Sans" w:cs="DM Sans"/>
          <w:b/>
          <w:i w:val="0"/>
          <w:color w:val="C1440E"/>
          <w:sz w:val="20"/>
          <w:spacing w:val="30"/>
        </w:rPr>
        <w:t xml:space="preserve">28–29 min.  </w:t>
      </w:r>
      <w:r>
        <w:rPr>
          <w:rFonts w:ascii="Cormorant Garamond" w:hAnsi="Cormorant Garamond" w:cs="Cormorant Garamond"/>
          <w:b w:val="0"/>
          <w:i/>
          <w:color w:val="0F2347"/>
          <w:sz w:val="30"/>
        </w:rPr>
        <w:t>What the full Position Read adds.</w:t>
      </w:r>
    </w:p>
    <w:p>
      <w:pPr>
        <w:spacing w:after="80" w:before="0" w:line="312" w:lineRule="auto"/>
      </w:pPr>
      <w:r>
        <w:rPr>
          <w:rFonts w:ascii="DM Sans" w:hAnsi="DM Sans" w:cs="DM Sans"/>
          <w:b w:val="0"/>
          <w:i w:val="0"/>
          <w:color w:val="4A4A4A"/>
          <w:sz w:val="18"/>
          <w:spacing w:val="30"/>
        </w:rPr>
        <w:t>Slide 13</w:t>
      </w:r>
    </w:p>
    <w:p>
      <w:pPr>
        <w:spacing w:after="4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Read the list. Do not oversell.</w:t>
      </w:r>
    </w:p>
    <w:p>
      <w:pPr>
        <w:spacing w:after="4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One line of framing: today opens the question, the paid workshop reads the answer.</w:t>
      </w:r>
    </w:p>
    <w:p>
      <w:pPr>
        <w:spacing w:after="40" w:before="160" w:line="312" w:lineRule="auto"/>
      </w:pPr>
      <w:r>
        <w:rPr>
          <w:rFonts w:ascii="DM Sans" w:hAnsi="DM Sans" w:cs="DM Sans"/>
          <w:b/>
          <w:i w:val="0"/>
          <w:color w:val="C1440E"/>
          <w:sz w:val="20"/>
          <w:spacing w:val="30"/>
        </w:rPr>
        <w:t xml:space="preserve">29–30 min.  </w:t>
      </w:r>
      <w:r>
        <w:rPr>
          <w:rFonts w:ascii="Cormorant Garamond" w:hAnsi="Cormorant Garamond" w:cs="Cormorant Garamond"/>
          <w:b w:val="0"/>
          <w:i/>
          <w:color w:val="0F2347"/>
          <w:sz w:val="30"/>
        </w:rPr>
        <w:t>Invitation.</w:t>
      </w:r>
    </w:p>
    <w:p>
      <w:pPr>
        <w:spacing w:after="80" w:before="0" w:line="312" w:lineRule="auto"/>
      </w:pPr>
      <w:r>
        <w:rPr>
          <w:rFonts w:ascii="DM Sans" w:hAnsi="DM Sans" w:cs="DM Sans"/>
          <w:b w:val="0"/>
          <w:i w:val="0"/>
          <w:color w:val="4A4A4A"/>
          <w:sz w:val="18"/>
          <w:spacing w:val="30"/>
        </w:rPr>
        <w:t>Slide 14</w:t>
      </w:r>
    </w:p>
    <w:p>
      <w:pPr>
        <w:spacing w:after="4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State the workshop title. Point to the CTA. Thank them.</w:t>
      </w:r>
    </w:p>
    <w:p>
      <w:pPr>
        <w:spacing w:after="4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Do not add scarcity language. Do not ask people to type YES in chat.</w:t>
      </w:r>
    </w:p>
    <w:p>
      <w:pPr>
        <w:pBdr>
          <w:bottom w:val="single" w:sz="6" w:space="1" w:color="C9A84C"/>
        </w:pBdr>
        <w:spacing w:after="120"/>
      </w:pPr>
    </w:p>
    <w:p>
      <w:pPr>
        <w:spacing w:after="120" w:before="160" w:line="312" w:lineRule="auto"/>
      </w:pPr>
      <w:r>
        <w:rPr>
          <w:rFonts w:ascii="DM Sans" w:hAnsi="DM Sans" w:cs="DM Sans"/>
          <w:b/>
          <w:i w:val="0"/>
          <w:color w:val="C9A84C"/>
          <w:sz w:val="18"/>
          <w:spacing w:val="40"/>
        </w:rPr>
        <w:t>OPTIONAL LIVE CHAT PROMPTS</w:t>
      </w:r>
    </w:p>
    <w:p>
      <w:pPr>
        <w:spacing w:after="160" w:before="0" w:line="312" w:lineRule="auto"/>
      </w:pPr>
      <w:r>
        <w:rPr>
          <w:rFonts w:ascii="DM Sans" w:hAnsi="DM Sans" w:cs="DM Sans"/>
          <w:b w:val="0"/>
          <w:i/>
          <w:color w:val="4A4A4A"/>
          <w:sz w:val="20"/>
        </w:rPr>
        <w:t>All optional. Non-diagnostic. No score collection. No workbooks collected.</w:t>
      </w:r>
    </w:p>
    <w:p>
      <w:pPr>
        <w:spacing w:after="40" w:before="0" w:line="312" w:lineRule="auto"/>
      </w:pPr>
      <w:r>
        <w:rPr>
          <w:rFonts w:ascii="Cormorant Garamond" w:hAnsi="Cormorant Garamond" w:cs="Cormorant Garamond"/>
          <w:b w:val="0"/>
          <w:i/>
          <w:color w:val="0F2347"/>
          <w:sz w:val="28"/>
        </w:rPr>
        <w:t>1. What brought you here today?</w:t>
      </w:r>
    </w:p>
    <w:p>
      <w:pPr>
        <w:spacing w:after="2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○  </w:t>
      </w:r>
      <w:r>
        <w:rPr>
          <w:rFonts w:ascii="DM Sans" w:hAnsi="DM Sans" w:cs="DM Sans"/>
          <w:b w:val="0"/>
          <w:i w:val="0"/>
          <w:color w:val="1A1A1A"/>
          <w:sz w:val="22"/>
        </w:rPr>
        <w:t>Promotion</w:t>
      </w:r>
    </w:p>
    <w:p>
      <w:pPr>
        <w:spacing w:after="2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○  </w:t>
      </w:r>
      <w:r>
        <w:rPr>
          <w:rFonts w:ascii="DM Sans" w:hAnsi="DM Sans" w:cs="DM Sans"/>
          <w:b w:val="0"/>
          <w:i w:val="0"/>
          <w:color w:val="1A1A1A"/>
          <w:sz w:val="22"/>
        </w:rPr>
        <w:t>Reorganization</w:t>
      </w:r>
    </w:p>
    <w:p>
      <w:pPr>
        <w:spacing w:after="2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○  </w:t>
      </w:r>
      <w:r>
        <w:rPr>
          <w:rFonts w:ascii="DM Sans" w:hAnsi="DM Sans" w:cs="DM Sans"/>
          <w:b w:val="0"/>
          <w:i w:val="0"/>
          <w:color w:val="1A1A1A"/>
          <w:sz w:val="22"/>
        </w:rPr>
        <w:t>Internal move</w:t>
      </w:r>
    </w:p>
    <w:p>
      <w:pPr>
        <w:spacing w:after="2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○  </w:t>
      </w:r>
      <w:r>
        <w:rPr>
          <w:rFonts w:ascii="DM Sans" w:hAnsi="DM Sans" w:cs="DM Sans"/>
          <w:b w:val="0"/>
          <w:i w:val="0"/>
          <w:color w:val="1A1A1A"/>
          <w:sz w:val="22"/>
        </w:rPr>
        <w:t>External opportunity</w:t>
      </w:r>
    </w:p>
    <w:p>
      <w:pPr>
        <w:spacing w:after="2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○  </w:t>
      </w:r>
      <w:r>
        <w:rPr>
          <w:rFonts w:ascii="DM Sans" w:hAnsi="DM Sans" w:cs="DM Sans"/>
          <w:b w:val="0"/>
          <w:i w:val="0"/>
          <w:color w:val="1A1A1A"/>
          <w:sz w:val="22"/>
        </w:rPr>
        <w:t>My role feels static</w:t>
      </w:r>
    </w:p>
    <w:p>
      <w:pPr>
        <w:spacing w:after="2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○  </w:t>
      </w:r>
      <w:r>
        <w:rPr>
          <w:rFonts w:ascii="DM Sans" w:hAnsi="DM Sans" w:cs="DM Sans"/>
          <w:b w:val="0"/>
          <w:i w:val="0"/>
          <w:color w:val="1A1A1A"/>
          <w:sz w:val="22"/>
        </w:rPr>
        <w:t>General uncertainty</w:t>
      </w:r>
    </w:p>
    <w:p>
      <w:pPr>
        <w:spacing w:after="120" w:before="0" w:line="312" w:lineRule="auto"/>
      </w:pPr>
      <w:r>
        <w:rPr>
          <w:rFonts w:ascii="DM Sans" w:hAnsi="DM Sans" w:cs="DM Sans"/>
          <w:b w:val="0"/>
          <w:i w:val="0"/>
          <w:color w:val="1A1A1A"/>
          <w:sz w:val="22"/>
        </w:rPr>
      </w:r>
    </w:p>
    <w:p>
      <w:pPr>
        <w:spacing w:after="40" w:before="0" w:line="312" w:lineRule="auto"/>
      </w:pPr>
      <w:r>
        <w:rPr>
          <w:rFonts w:ascii="Cormorant Garamond" w:hAnsi="Cormorant Garamond" w:cs="Cormorant Garamond"/>
          <w:b w:val="0"/>
          <w:i/>
          <w:color w:val="0F2347"/>
          <w:sz w:val="28"/>
        </w:rPr>
        <w:t>2. Which misreading feels most familiar?</w:t>
      </w:r>
    </w:p>
    <w:p>
      <w:pPr>
        <w:spacing w:after="2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○  </w:t>
      </w:r>
      <w:r>
        <w:rPr>
          <w:rFonts w:ascii="DM Sans" w:hAnsi="DM Sans" w:cs="DM Sans"/>
          <w:b w:val="0"/>
          <w:i w:val="0"/>
          <w:color w:val="1A1A1A"/>
          <w:sz w:val="22"/>
        </w:rPr>
        <w:t>I score future plans as evidence</w:t>
      </w:r>
    </w:p>
    <w:p>
      <w:pPr>
        <w:spacing w:after="2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○  </w:t>
      </w:r>
      <w:r>
        <w:rPr>
          <w:rFonts w:ascii="DM Sans" w:hAnsi="DM Sans" w:cs="DM Sans"/>
          <w:b w:val="0"/>
          <w:i w:val="0"/>
          <w:color w:val="1A1A1A"/>
          <w:sz w:val="22"/>
        </w:rPr>
        <w:t>I confuse being valued with being formed</w:t>
      </w:r>
    </w:p>
    <w:p>
      <w:pPr>
        <w:spacing w:after="2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○  </w:t>
      </w:r>
      <w:r>
        <w:rPr>
          <w:rFonts w:ascii="DM Sans" w:hAnsi="DM Sans" w:cs="DM Sans"/>
          <w:b w:val="0"/>
          <w:i w:val="0"/>
          <w:color w:val="1A1A1A"/>
          <w:sz w:val="22"/>
        </w:rPr>
        <w:t>I read low visibility as low ability</w:t>
      </w:r>
    </w:p>
    <w:p>
      <w:pPr>
        <w:spacing w:after="120" w:before="0" w:line="312" w:lineRule="auto"/>
      </w:pPr>
      <w:r>
        <w:rPr>
          <w:rFonts w:ascii="DM Sans" w:hAnsi="DM Sans" w:cs="DM Sans"/>
          <w:b w:val="0"/>
          <w:i w:val="0"/>
          <w:color w:val="1A1A1A"/>
          <w:sz w:val="22"/>
        </w:rPr>
      </w:r>
    </w:p>
    <w:p>
      <w:pPr>
        <w:spacing w:after="40" w:before="0" w:line="312" w:lineRule="auto"/>
      </w:pPr>
      <w:r>
        <w:rPr>
          <w:rFonts w:ascii="Cormorant Garamond" w:hAnsi="Cormorant Garamond" w:cs="Cormorant Garamond"/>
          <w:b w:val="0"/>
          <w:i/>
          <w:color w:val="0F2347"/>
          <w:sz w:val="28"/>
        </w:rPr>
        <w:t>3. What do you need to examine more carefully after today?</w:t>
      </w:r>
    </w:p>
    <w:p>
      <w:pPr>
        <w:spacing w:after="160" w:before="0" w:line="312" w:lineRule="auto"/>
      </w:pPr>
      <w:r>
        <w:rPr>
          <w:rFonts w:ascii="DM Sans" w:hAnsi="DM Sans" w:cs="DM Sans"/>
          <w:b w:val="0"/>
          <w:i/>
          <w:color w:val="4A4A4A"/>
          <w:sz w:val="20"/>
        </w:rPr>
        <w:t>Free text. Optional. Do not read answers aloud during the session.</w:t>
      </w:r>
    </w:p>
    <w:p>
      <w:pPr>
        <w:pBdr>
          <w:bottom w:val="single" w:sz="6" w:space="1" w:color="C9A84C"/>
        </w:pBdr>
        <w:spacing w:after="120"/>
      </w:pPr>
    </w:p>
    <w:p>
      <w:pPr>
        <w:spacing w:after="120" w:before="160" w:line="312" w:lineRule="auto"/>
      </w:pPr>
      <w:r>
        <w:rPr>
          <w:rFonts w:ascii="DM Sans" w:hAnsi="DM Sans" w:cs="DM Sans"/>
          <w:b/>
          <w:i w:val="0"/>
          <w:color w:val="C9A84C"/>
          <w:sz w:val="18"/>
          <w:spacing w:val="40"/>
        </w:rPr>
        <w:t>IF Q&amp;A FOLLOWS</w:t>
      </w:r>
    </w:p>
    <w:p>
      <w:pPr>
        <w:spacing w:after="4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Ten minutes maximum. Keep answers short.</w:t>
      </w:r>
    </w:p>
    <w:p>
      <w:pPr>
        <w:spacing w:after="4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If someone asks for a personal reading, redirect calmly: “That is what the full Position Read is for.”</w:t>
      </w:r>
    </w:p>
    <w:p>
      <w:pPr>
        <w:spacing w:after="4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If someone asks whether to stay or leave, do not answer.</w:t>
      </w:r>
    </w:p>
    <w:p>
      <w:pPr>
        <w:spacing w:after="4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If someone asks for the twelve statements, decline. Point to the workshop.</w:t>
      </w:r>
    </w:p>
    <w:p>
      <w:pPr>
        <w:spacing w:after="40" w:before="0" w:line="312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If a question surfaces a good general point, use it, without naming the asker.</w:t>
      </w:r>
    </w:p>
    <w:p>
      <w:pPr>
        <w:pBdr>
          <w:bottom w:val="single" w:sz="6" w:space="1" w:color="C9A84C"/>
        </w:pBdr>
        <w:spacing w:after="120"/>
      </w:pPr>
    </w:p>
    <w:p>
      <w:pPr>
        <w:spacing w:after="120" w:before="160" w:line="312" w:lineRule="auto"/>
      </w:pPr>
      <w:r>
        <w:rPr>
          <w:rFonts w:ascii="DM Sans" w:hAnsi="DM Sans" w:cs="DM Sans"/>
          <w:b/>
          <w:i w:val="0"/>
          <w:color w:val="C1440E"/>
          <w:sz w:val="18"/>
          <w:spacing w:val="40"/>
        </w:rPr>
        <w:t>DO NOT DO</w:t>
      </w:r>
    </w:p>
    <w:p>
      <w:pPr>
        <w:spacing w:after="40" w:before="0" w:line="312" w:lineRule="auto"/>
      </w:pPr>
      <w:r>
        <w:rPr>
          <w:rFonts w:ascii="DM Sans" w:hAnsi="DM Sans" w:cs="DM Sans"/>
          <w:b/>
          <w:i w:val="0"/>
          <w:color w:val="C1440E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Do not administer the twelve-statement instrument.</w:t>
      </w:r>
    </w:p>
    <w:p>
      <w:pPr>
        <w:spacing w:after="40" w:before="0" w:line="312" w:lineRule="auto"/>
      </w:pPr>
      <w:r>
        <w:rPr>
          <w:rFonts w:ascii="DM Sans" w:hAnsi="DM Sans" w:cs="DM Sans"/>
          <w:b/>
          <w:i w:val="0"/>
          <w:color w:val="C1440E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Do not calculate Density or Optionality totals.</w:t>
      </w:r>
    </w:p>
    <w:p>
      <w:pPr>
        <w:spacing w:after="40" w:before="0" w:line="312" w:lineRule="auto"/>
      </w:pPr>
      <w:r>
        <w:rPr>
          <w:rFonts w:ascii="DM Sans" w:hAnsi="DM Sans" w:cs="DM Sans"/>
          <w:b/>
          <w:i w:val="0"/>
          <w:color w:val="C1440E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Do not place people into the Four Career States.</w:t>
      </w:r>
    </w:p>
    <w:p>
      <w:pPr>
        <w:spacing w:after="40" w:before="0" w:line="312" w:lineRule="auto"/>
      </w:pPr>
      <w:r>
        <w:rPr>
          <w:rFonts w:ascii="DM Sans" w:hAnsi="DM Sans" w:cs="DM Sans"/>
          <w:b/>
          <w:i w:val="0"/>
          <w:color w:val="C1440E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Do not run the two-pass method.</w:t>
      </w:r>
    </w:p>
    <w:p>
      <w:pPr>
        <w:spacing w:after="40" w:before="0" w:line="312" w:lineRule="auto"/>
      </w:pPr>
      <w:r>
        <w:rPr>
          <w:rFonts w:ascii="DM Sans" w:hAnsi="DM Sans" w:cs="DM Sans"/>
          <w:b/>
          <w:i w:val="0"/>
          <w:color w:val="C1440E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Do not teach the full evidence protocol.</w:t>
      </w:r>
    </w:p>
    <w:p>
      <w:pPr>
        <w:spacing w:after="40" w:before="0" w:line="312" w:lineRule="auto"/>
      </w:pPr>
      <w:r>
        <w:rPr>
          <w:rFonts w:ascii="DM Sans" w:hAnsi="DM Sans" w:cs="DM Sans"/>
          <w:b/>
          <w:i w:val="0"/>
          <w:color w:val="C1440E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Do not include the neighbouring-score sensitivity check.</w:t>
      </w:r>
    </w:p>
    <w:p>
      <w:pPr>
        <w:spacing w:after="40" w:before="0" w:line="312" w:lineRule="auto"/>
      </w:pPr>
      <w:r>
        <w:rPr>
          <w:rFonts w:ascii="DM Sans" w:hAnsi="DM Sans" w:cs="DM Sans"/>
          <w:b/>
          <w:i w:val="0"/>
          <w:color w:val="C1440E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Do not include the Next-Move Decision.</w:t>
      </w:r>
    </w:p>
    <w:p>
      <w:pPr>
        <w:spacing w:after="40" w:before="0" w:line="312" w:lineRule="auto"/>
      </w:pPr>
      <w:r>
        <w:rPr>
          <w:rFonts w:ascii="DM Sans" w:hAnsi="DM Sans" w:cs="DM Sans"/>
          <w:b/>
          <w:i w:val="0"/>
          <w:color w:val="C1440E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Do not create a personalized 90-day plan for anyone.</w:t>
      </w:r>
    </w:p>
    <w:p>
      <w:pPr>
        <w:spacing w:after="40" w:before="0" w:line="312" w:lineRule="auto"/>
      </w:pPr>
      <w:r>
        <w:rPr>
          <w:rFonts w:ascii="DM Sans" w:hAnsi="DM Sans" w:cs="DM Sans"/>
          <w:b/>
          <w:i w:val="0"/>
          <w:color w:val="C1440E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Do not tell anyone whether to stay or leave.</w:t>
      </w:r>
    </w:p>
    <w:p>
      <w:pPr>
        <w:spacing w:after="40" w:before="0" w:line="312" w:lineRule="auto"/>
      </w:pPr>
      <w:r>
        <w:rPr>
          <w:rFonts w:ascii="DM Sans" w:hAnsi="DM Sans" w:cs="DM Sans"/>
          <w:b/>
          <w:i w:val="0"/>
          <w:color w:val="C1440E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Do not imply layoff prediction.</w:t>
      </w:r>
    </w:p>
    <w:p>
      <w:pPr>
        <w:spacing w:after="40" w:before="0" w:line="312" w:lineRule="auto"/>
      </w:pPr>
      <w:r>
        <w:rPr>
          <w:rFonts w:ascii="DM Sans" w:hAnsi="DM Sans" w:cs="DM Sans"/>
          <w:b/>
          <w:i w:val="0"/>
          <w:color w:val="C1440E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Do not position this as an enterprise or team product.</w:t>
      </w:r>
    </w:p>
    <w:p>
      <w:pPr>
        <w:pBdr>
          <w:bottom w:val="single" w:sz="6" w:space="1" w:color="C9A84C"/>
        </w:pBdr>
        <w:spacing w:after="120"/>
      </w:pPr>
    </w:p>
    <w:p>
      <w:pPr>
        <w:spacing w:after="120" w:before="120" w:line="312" w:lineRule="auto"/>
      </w:pPr>
      <w:r>
        <w:rPr>
          <w:rFonts w:ascii="DM Sans" w:hAnsi="DM Sans" w:cs="DM Sans"/>
          <w:b w:val="0"/>
          <w:i w:val="0"/>
          <w:color w:val="4A4A4A"/>
          <w:sz w:val="16"/>
          <w:spacing w:val="30"/>
        </w:rPr>
        <w:t>TEMIDAYO AFONJA   |   TEMIDAYOAFONJA.COM   |   RUN OF SHOW v1.0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