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7:33 to 8:25,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THINGS I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AUTHORITY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PROOF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REAL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TITLES CAN MISLEAD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 CAN HAPPEN TOO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METHOD CANNOT TELL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 IT ON A REAL JOB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NEW_V6_FS_01_TITLE_ONLY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NEW_V6_FS_02_THE_CONTRADICTION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NEW_V6_FS_05_PARP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NEW_V6_FS_03_THE_SAMPLE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NEW_V6_FS_04_THREE_QUESTIONS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NEW_V6_FS_06_POSTING_WALKTHROUGH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NEW_V6_FS_08_READ_THE_VERBS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NEW_V6_FS_09_PREDEFINED_DECISIONS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NEW_V6_FS_17_REAL_GAP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4 | REAL GAP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NEW_V6_FS_10_DIRECTOR_COMPARE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NEW_V6_FS_12_TITLE_TEST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NEW_V6_FS_13_ACRONYM_WALL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NEW_V6_FS_14_AUTHORITY_POSTURES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NEW_V6_FS_15_CEILING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NEW_V6_FS_16_READ_THE_WORK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NEW_V6_FS_18_WHAT_IT_WILL_NOT_DO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METHOD CANNOT TELL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NEW_V6_FS_20_CTA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USE IT ON A REAL JOB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NEW_V6_FS_19_FOUR_THINGS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TAKEAWAY VALUE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IS THE ACTUAL JOB?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CARD  |  S1: br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Senior Divisional Strategy Consultant, Governance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POSTING DETAIL  |  S2: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PUBLISHED RANGE START: $61,500 / ACCEPT DIRECTION AN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TITLE ≠ THE WHOLE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AUTHORITY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COMPARISON  |  SUPPORTING ≠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REQUIREMENT CARD  |  REQUIRED TIME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REVERSE CAN HAPPEN TOO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REVERSE CASE  |  HIGHEST PUBLISHED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USE IT ON A REAL JOB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PROBLEM / AUTHORIT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