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Longer You Stay, the Easier This Is to Miss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102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 longer you stay in one place, the easier it is to confuse knowing the place with having something you can carry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know who to call. You know which meeting matters. You know which rule can bend and which one cannot.</w:t>
      </w:r>
    </w:p>
    <w:p>
      <w:pPr>
        <w:spacing w:before="0" w:after="80"/>
      </w:pPr>
      <w:r>
        <w:rPr>
          <w:b w:val="0"/>
          <w:i w:val="0"/>
          <w:sz w:val="22"/>
        </w:rPr>
        <w:t>That is real expertise.</w:t>
      </w:r>
    </w:p>
    <w:p>
      <w:pPr>
        <w:spacing w:before="0" w:after="80"/>
      </w:pPr>
      <w:r>
        <w:rPr>
          <w:b w:val="0"/>
          <w:i w:val="0"/>
          <w:sz w:val="22"/>
        </w:rPr>
        <w:t>But some of that expertise belongs to the environment, not only to you. That is why a move can feel humbling even when you have a lot of experience.</w:t>
      </w:r>
    </w:p>
    <w:p>
      <w:pPr>
        <w:spacing w:before="0" w:after="80"/>
      </w:pPr>
      <w:r>
        <w:rPr>
          <w:b w:val="0"/>
          <w:i w:val="0"/>
          <w:sz w:val="22"/>
        </w:rPr>
        <w:t>The capability may still be there. The shortcuts are not.</w:t>
      </w:r>
    </w:p>
    <w:p>
      <w:pPr>
        <w:spacing w:before="0" w:after="80"/>
      </w:pPr>
      <w:r>
        <w:rPr>
          <w:b w:val="0"/>
          <w:i w:val="0"/>
          <w:sz w:val="22"/>
        </w:rPr>
        <w:t>Take one job you are thinking about.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Make four columns: TRAVELS. DOES NOT TRAVEL. PROOF. RELEARN.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shortcuts are not.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“anywhere”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NEW_V9_FS_11_FLUENCY_AND_PORTABILITY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is real expertise.”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NEW_V9_FS_09_FOUR_COLUMNS,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