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Transferable Skills Advice Is Incomplete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95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Travels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0:50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Longer You Stay, the Easier This Is to Miss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102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0:37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TRANSFERABLE SKILLS ADVICE IS INCOMPLETE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 that we avoid the harder question: What am I leaving behind?</w:t>
      </w:r>
    </w:p>
    <w:p>
      <w:pPr>
        <w:spacing w:before="0" w:after="80"/>
      </w:pPr>
      <w:r>
        <w:rPr>
          <w:b w:val="0"/>
          <w:i w:val="0"/>
          <w:sz w:val="22"/>
        </w:rPr>
        <w:t>Your judgment may travel. Your relationships may not. Your problem-solving may travel. Your knowledge of that company’s systems may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 What does not? What can I prove? 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am I leaving behind?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“false confidence”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Your judgment may travel.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NEW_V9_FS_01_INCOMPLETE_QUESTION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NEW_V9_FS_03_FOUR_QUESTIONS,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NOT EVERYTHING TRAVELS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know from experience that changing context does not mean starting from zero. But I also know that not everything comes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 what belonged to the old place. Internal relationships. Company systems. 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 Knowing exactly who to call. Knowing how that company really gets things done.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 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someone asks why your experience should count in a new field, you do not have to say: “Everything I have done transfers.”</w:t>
      </w:r>
    </w:p>
    <w:p>
      <w:pPr>
        <w:spacing w:before="0" w:after="80"/>
      </w:pPr>
      <w:r>
        <w:rPr>
          <w:b/>
          <w:i w:val="0"/>
          <w:sz w:val="22"/>
        </w:rPr>
        <w:t>Try something more honest: “The part of my experience that is most useful here is X. I have used it to solve Y kind of problem. The part I would need to build in your environment is Z.”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comes with you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“zero”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Internal relationships.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NEW_V9_FS_05_TIED_TO_THE_OLD_CONTEXT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NEW_V9_FS_06_WHAT_CAN_ANOTHER_PERSON_SEE,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LONGER YOU STAY, THE EASIER THIS IS TO MISS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 You know which meeting matters. You know which rule can bend and which one cannot.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 That is why a move can feel humbling even when you have a lot of experience.</w:t>
      </w:r>
    </w:p>
    <w:p>
      <w:pPr>
        <w:spacing w:before="0" w:after="80"/>
      </w:pPr>
      <w:r>
        <w:rPr>
          <w:b w:val="0"/>
          <w:i w:val="0"/>
          <w:sz w:val="22"/>
        </w:rPr>
        <w:t>The capability may still be there. The shortcuts are not.</w:t>
      </w:r>
    </w:p>
    <w:p>
      <w:pPr>
        <w:spacing w:before="0" w:after="80"/>
      </w:pPr>
      <w:r>
        <w:rPr>
          <w:b w:val="0"/>
          <w:i w:val="0"/>
          <w:sz w:val="22"/>
        </w:rPr>
        <w:t>Take one job you are thinking about.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Make four columns: TRAVELS. DOES NOT TRAVEL. PROOF. RELEARN.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shortcuts are not.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“anywhere”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is real expertise.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NEW_V9_FS_11_FLUENCY_AND_PORTABILITY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NEW_V9_FS_09_FOUR_COLUMNS,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