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Your First 90 Days in a New Job: What Really Matters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V10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12:57 PM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22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22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1,701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39 rendered teaching and end-card states across 17 active families, all 1920 x 1080, plus one phone-size contact sheet, which is a proof sheet of those states and not a state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Approved introduction restored exactly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after STORY LOOP, before WHY THIS FEELS STRANGE WHEN YOU ARE EXPERIENCED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45 paragraphs preserved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and the approved opening were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 added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48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Your First 90 Days in a New Job: What Really Matters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DON’T SPEND YOUR FIRST 90 DAYS PROVING YOURSELF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V10 uses the longer approved thumbnail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DON’T SPEND YOUR FIRST 90 DAYS PROVING YOURSELF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17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39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Career Evidence Starter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owns the closing passage alone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full screen from the start of its spoken passage; no teaching card shares it and there is no return to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paragraph carries two cards without a sequence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 paragraphs carry two cards, each with entry and exit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early cutaway is in the map with a state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5 opening steps, 3 of them full screen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Early entry and exit words are in the paragraphs they name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against the reconciled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camera or full-screen mode conflicts with the brief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full-screen step names a state; every camera step names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brief trigger resolves by section and purpose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numbered against the reconciled script, not the intake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Shorts carry complete lists, clear referents and one action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 editorial rules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Teaching states counted apart from the contact sheet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39 states; the contact sheet is listed separately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