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Remaining release checks</w:t>
      </w:r>
    </w:p>
    <w:p>
      <w:pPr>
        <w:spacing w:before="0" w:after="280"/>
      </w:pPr>
      <w:r>
        <w:rPr>
          <w:b w:val="0"/>
          <w:i w:val="0"/>
          <w:color w:val="5A6B82"/>
          <w:sz w:val="20"/>
        </w:rPr>
        <w:t>Separate from production readiness</w:t>
      </w:r>
    </w:p>
    <w:p>
      <w:pPr>
        <w:spacing w:before="0" w:after="240"/>
        <w:pBdr>
          <w:bottom w:val="single" w:sz="6" w:color="8A6D1E"/>
        </w:pBdr>
      </w:pPr>
    </w:p>
    <w:p>
      <w:pPr>
        <w:spacing w:after="80"/>
      </w:pPr>
      <w:r>
        <w:rPr>
          <w:b/>
          <w:color w:val="8A6D1E"/>
          <w:sz w:val="20"/>
        </w:rPr>
        <w:t xml:space="preserve">Generated  </w:t>
      </w:r>
      <w:r>
        <w:rPr>
          <w:sz w:val="21"/>
        </w:rPr>
        <w:t>Thursday, September 17, 2026 | 12:57 PM CT</w:t>
      </w:r>
    </w:p>
    <w:p>
      <w:pPr>
        <w:spacing w:before="200" w:after="200"/>
        <w:ind w:left="216"/>
        <w:pBdr>
          <w:left w:val="single" w:sz="18" w:color="9B2C10" w:space="8"/>
        </w:pBdr>
        <w:keepNext w:val="1"/>
        <w:keepLines w:val="1"/>
      </w:pPr>
      <w:r>
        <w:rPr>
          <w:b/>
          <w:color w:val="9B2C10"/>
          <w:sz w:val="21"/>
        </w:rPr>
        <w:t>Production readiness and release approval are not the same thing. The synchronized handoff is complete and locked. Nothing below has been performed, and nothing below is claimed anywhere in these packages. Each one needs the finished export or a live check.</w:t>
      </w:r>
    </w:p>
    <w:p>
      <w:pPr>
        <w:spacing w:before="320" w:after="120"/>
        <w:keepNext w:val="1"/>
        <w:keepLines w:val="1"/>
      </w:pPr>
      <w:r>
        <w:rPr>
          <w:b/>
          <w:i w:val="0"/>
          <w:color w:val="112345"/>
          <w:sz w:val="26"/>
        </w:rPr>
        <w:t>NEEDS THE FINISHED EXPORT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304"/>
            <w:shd w:val="clear" w:color="auto" w:fill="F3EFE6"/>
          </w:tcPr>
          <w:p>
            <w:pPr>
              <w:spacing w:before="60" w:after="60" w:line="264" w:lineRule="auto"/>
            </w:pPr>
            <w:r/>
            <w:r>
              <w:rPr>
                <w:b/>
                <w:i w:val="0"/>
                <w:color w:val="112345"/>
                <w:sz w:val="17"/>
              </w:rPr>
            </w:r>
          </w:p>
        </w:tc>
        <w:tc>
          <w:tcPr>
            <w:tcW w:type="dxa" w:w="7344"/>
            <w:shd w:val="clear" w:color="auto" w:fill="F3EFE6"/>
          </w:tcPr>
          <w:p>
            <w:pPr>
              <w:spacing w:before="60" w:after="60" w:line="264" w:lineRule="auto"/>
            </w:pPr>
            <w:r/>
            <w:r>
              <w:rPr>
                <w:b/>
                <w:i w:val="0"/>
                <w:color w:val="112345"/>
                <w:sz w:val="17"/>
              </w:rPr>
              <w:t>WHY IT CANNOT BE DONE HERE</w:t>
            </w:r>
          </w:p>
        </w:tc>
      </w:tr>
      <w:tr>
        <w:tc>
          <w:tcPr>
            <w:tcW w:type="dxa" w:w="2304"/>
          </w:tcPr>
          <w:p>
            <w:pPr>
              <w:spacing w:before="60" w:after="60" w:line="264" w:lineRule="auto"/>
            </w:pPr>
            <w:r/>
            <w:r>
              <w:rPr>
                <w:b w:val="0"/>
                <w:i w:val="0"/>
                <w:sz w:val="17"/>
              </w:rPr>
              <w:t>Final runtime</w:t>
            </w:r>
          </w:p>
        </w:tc>
        <w:tc>
          <w:tcPr>
            <w:tcW w:type="dxa" w:w="7344"/>
          </w:tcPr>
          <w:p>
            <w:pPr>
              <w:spacing w:before="60" w:after="60" w:line="264" w:lineRule="auto"/>
            </w:pPr>
            <w:r/>
            <w:r>
              <w:rPr>
                <w:b w:val="0"/>
                <w:i w:val="0"/>
                <w:sz w:val="17"/>
              </w:rPr>
              <w:t>Every length in this handoff is arithmetic on words at 130 to 145 words per minute. That is a planning estimate, not a runtime.</w:t>
            </w:r>
          </w:p>
        </w:tc>
      </w:tr>
      <w:tr>
        <w:tc>
          <w:tcPr>
            <w:tcW w:type="dxa" w:w="2304"/>
          </w:tcPr>
          <w:p>
            <w:pPr>
              <w:spacing w:before="60" w:after="60" w:line="264" w:lineRule="auto"/>
            </w:pPr>
            <w:r/>
            <w:r>
              <w:rPr>
                <w:b w:val="0"/>
                <w:i w:val="0"/>
                <w:sz w:val="17"/>
              </w:rPr>
              <w:t>V6's ten-minute promise</w:t>
            </w:r>
          </w:p>
        </w:tc>
        <w:tc>
          <w:tcPr>
            <w:tcW w:type="dxa" w:w="7344"/>
          </w:tcPr>
          <w:p>
            <w:pPr>
              <w:spacing w:before="60" w:after="60" w:line="264" w:lineRule="auto"/>
            </w:pPr>
            <w:r/>
            <w:r>
              <w:rPr>
                <w:b w:val="0"/>
                <w:i w:val="0"/>
                <w:sz w:val="17"/>
              </w:rPr>
              <w:t>V6 says in the next 10 minutes. 1,096 spoken words is roughly 7.6 to 8.4 minutes of speech-only arithmetic, and the finished cut will differ. Check the promise against the export and adjust the line or the cut if it does not hold.</w:t>
            </w:r>
          </w:p>
        </w:tc>
      </w:tr>
      <w:tr>
        <w:tc>
          <w:tcPr>
            <w:tcW w:type="dxa" w:w="2304"/>
          </w:tcPr>
          <w:p>
            <w:pPr>
              <w:spacing w:before="60" w:after="60" w:line="264" w:lineRule="auto"/>
            </w:pPr>
            <w:r/>
            <w:r>
              <w:rPr>
                <w:b w:val="0"/>
                <w:i w:val="0"/>
                <w:sz w:val="17"/>
              </w:rPr>
              <w:t>Captions</w:t>
            </w:r>
          </w:p>
        </w:tc>
        <w:tc>
          <w:tcPr>
            <w:tcW w:type="dxa" w:w="7344"/>
          </w:tcPr>
          <w:p>
            <w:pPr>
              <w:spacing w:before="60" w:after="60" w:line="264" w:lineRule="auto"/>
            </w:pPr>
            <w:r/>
            <w:r>
              <w:rPr>
                <w:b w:val="0"/>
                <w:i w:val="0"/>
                <w:sz w:val="17"/>
              </w:rPr>
              <w:t>Generate the SRT from the finished export and read it against the cut. None exists here.</w:t>
            </w:r>
          </w:p>
        </w:tc>
      </w:tr>
      <w:tr>
        <w:tc>
          <w:tcPr>
            <w:tcW w:type="dxa" w:w="2304"/>
          </w:tcPr>
          <w:p>
            <w:pPr>
              <w:spacing w:before="60" w:after="60" w:line="264" w:lineRule="auto"/>
            </w:pPr>
            <w:r/>
            <w:r>
              <w:rPr>
                <w:b w:val="0"/>
                <w:i w:val="0"/>
                <w:sz w:val="17"/>
              </w:rPr>
              <w:t>Chapters</w:t>
            </w:r>
          </w:p>
        </w:tc>
        <w:tc>
          <w:tcPr>
            <w:tcW w:type="dxa" w:w="7344"/>
          </w:tcPr>
          <w:p>
            <w:pPr>
              <w:spacing w:before="60" w:after="60" w:line="264" w:lineRule="auto"/>
            </w:pPr>
            <w:r/>
            <w:r>
              <w:rPr>
                <w:b w:val="0"/>
                <w:i w:val="0"/>
                <w:sz w:val="17"/>
              </w:rPr>
              <w:t>Build them from real export timings. No timecode in this handoff is measured.</w:t>
            </w:r>
          </w:p>
        </w:tc>
      </w:tr>
      <w:tr>
        <w:tc>
          <w:tcPr>
            <w:tcW w:type="dxa" w:w="2304"/>
          </w:tcPr>
          <w:p>
            <w:pPr>
              <w:spacing w:before="60" w:after="60" w:line="264" w:lineRule="auto"/>
            </w:pPr>
            <w:r/>
            <w:r>
              <w:rPr>
                <w:b w:val="0"/>
                <w:i w:val="0"/>
                <w:sz w:val="17"/>
              </w:rPr>
              <w:t>Audio</w:t>
            </w:r>
          </w:p>
        </w:tc>
        <w:tc>
          <w:tcPr>
            <w:tcW w:type="dxa" w:w="7344"/>
          </w:tcPr>
          <w:p>
            <w:pPr>
              <w:spacing w:before="60" w:after="60" w:line="264" w:lineRule="auto"/>
            </w:pPr>
            <w:r/>
            <w:r>
              <w:rPr>
                <w:b w:val="0"/>
                <w:i w:val="0"/>
                <w:sz w:val="17"/>
              </w:rPr>
              <w:t>Audition every accent under the recorded voice. Keep speech clear. No cue here has been heard.</w:t>
            </w:r>
          </w:p>
        </w:tc>
      </w:tr>
      <w:tr>
        <w:tc>
          <w:tcPr>
            <w:tcW w:type="dxa" w:w="2304"/>
          </w:tcPr>
          <w:p>
            <w:pPr>
              <w:spacing w:before="60" w:after="60" w:line="264" w:lineRule="auto"/>
            </w:pPr>
            <w:r/>
            <w:r>
              <w:rPr>
                <w:b w:val="0"/>
                <w:i w:val="0"/>
                <w:sz w:val="17"/>
              </w:rPr>
              <w:t>Shorts lengths</w:t>
            </w:r>
          </w:p>
        </w:tc>
        <w:tc>
          <w:tcPr>
            <w:tcW w:type="dxa" w:w="7344"/>
          </w:tcPr>
          <w:p>
            <w:pPr>
              <w:spacing w:before="60" w:after="60" w:line="264" w:lineRule="auto"/>
            </w:pPr>
            <w:r/>
            <w:r>
              <w:rPr>
                <w:b w:val="0"/>
                <w:i w:val="0"/>
                <w:sz w:val="17"/>
              </w:rPr>
              <w:t>Every Short is under sixty seconds by arithmetic at 165 words per minute. Confirm on the exported vertical cut.</w:t>
            </w:r>
          </w:p>
        </w:tc>
      </w:tr>
    </w:tbl>
    <w:p>
      <w:pPr>
        <w:spacing w:after="120"/>
      </w:pPr>
    </w:p>
    <w:p>
      <w:pPr>
        <w:spacing w:before="320" w:after="120"/>
        <w:keepNext w:val="1"/>
        <w:keepLines w:val="1"/>
      </w:pPr>
      <w:r>
        <w:rPr>
          <w:b/>
          <w:i w:val="0"/>
          <w:color w:val="112345"/>
          <w:sz w:val="26"/>
        </w:rPr>
        <w:t>NEEDS A LIVE CHECK AT UPLOAD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304"/>
            <w:shd w:val="clear" w:color="auto" w:fill="F3EFE6"/>
          </w:tcPr>
          <w:p>
            <w:pPr>
              <w:spacing w:before="60" w:after="60" w:line="264" w:lineRule="auto"/>
            </w:pPr>
            <w:r/>
            <w:r>
              <w:rPr>
                <w:b/>
                <w:i w:val="0"/>
                <w:color w:val="112345"/>
                <w:sz w:val="17"/>
              </w:rPr>
            </w:r>
          </w:p>
        </w:tc>
        <w:tc>
          <w:tcPr>
            <w:tcW w:type="dxa" w:w="7344"/>
            <w:shd w:val="clear" w:color="auto" w:fill="F3EFE6"/>
          </w:tcPr>
          <w:p>
            <w:pPr>
              <w:spacing w:before="60" w:after="60" w:line="264" w:lineRule="auto"/>
            </w:pPr>
            <w:r/>
            <w:r>
              <w:rPr>
                <w:b/>
                <w:i w:val="0"/>
                <w:color w:val="112345"/>
                <w:sz w:val="17"/>
              </w:rPr>
              <w:t>WHAT TO CONFIRM</w:t>
            </w:r>
          </w:p>
        </w:tc>
      </w:tr>
      <w:tr>
        <w:tc>
          <w:tcPr>
            <w:tcW w:type="dxa" w:w="2304"/>
          </w:tcPr>
          <w:p>
            <w:pPr>
              <w:spacing w:before="60" w:after="60" w:line="264" w:lineRule="auto"/>
            </w:pPr>
            <w:r/>
            <w:r>
              <w:rPr>
                <w:b w:val="0"/>
                <w:i w:val="0"/>
                <w:sz w:val="17"/>
              </w:rPr>
              <w:t>V10 Watch Next</w:t>
            </w:r>
          </w:p>
        </w:tc>
        <w:tc>
          <w:tcPr>
            <w:tcW w:type="dxa" w:w="7344"/>
          </w:tcPr>
          <w:p>
            <w:pPr>
              <w:spacing w:before="60" w:after="60" w:line="264" w:lineRule="auto"/>
            </w:pPr>
            <w:r/>
            <w:r>
              <w:rPr>
                <w:b w:val="0"/>
                <w:i w:val="0"/>
                <w:sz w:val="17"/>
              </w:rPr>
              <w:t>Points to V11, which is not published. Confirm the exact destination is live before upload. Flag it rather than substituting another.</w:t>
            </w:r>
          </w:p>
        </w:tc>
      </w:tr>
      <w:tr>
        <w:tc>
          <w:tcPr>
            <w:tcW w:type="dxa" w:w="2304"/>
          </w:tcPr>
          <w:p>
            <w:pPr>
              <w:spacing w:before="60" w:after="60" w:line="264" w:lineRule="auto"/>
            </w:pPr>
            <w:r/>
            <w:r>
              <w:rPr>
                <w:b w:val="0"/>
                <w:i w:val="0"/>
                <w:sz w:val="17"/>
              </w:rPr>
              <w:t>V11 Watch Next</w:t>
            </w:r>
          </w:p>
        </w:tc>
        <w:tc>
          <w:tcPr>
            <w:tcW w:type="dxa" w:w="7344"/>
          </w:tcPr>
          <w:p>
            <w:pPr>
              <w:spacing w:before="60" w:after="60" w:line="264" w:lineRule="auto"/>
            </w:pPr>
            <w:r/>
            <w:r>
              <w:rPr>
                <w:b w:val="0"/>
                <w:i w:val="0"/>
                <w:sz w:val="17"/>
              </w:rPr>
              <w:t>Points to public V5. Confirm the exact destination is live before upload.</w:t>
            </w:r>
          </w:p>
        </w:tc>
      </w:tr>
      <w:tr>
        <w:tc>
          <w:tcPr>
            <w:tcW w:type="dxa" w:w="2304"/>
          </w:tcPr>
          <w:p>
            <w:pPr>
              <w:spacing w:before="60" w:after="60" w:line="264" w:lineRule="auto"/>
            </w:pPr>
            <w:r/>
            <w:r>
              <w:rPr>
                <w:b w:val="0"/>
                <w:i w:val="0"/>
                <w:sz w:val="17"/>
              </w:rPr>
              <w:t>Scheduling dependency</w:t>
            </w:r>
          </w:p>
        </w:tc>
        <w:tc>
          <w:tcPr>
            <w:tcW w:type="dxa" w:w="7344"/>
          </w:tcPr>
          <w:p>
            <w:pPr>
              <w:spacing w:before="60" w:after="60" w:line="264" w:lineRule="auto"/>
            </w:pPr>
            <w:r/>
            <w:r>
              <w:rPr>
                <w:b w:val="0"/>
                <w:i w:val="0"/>
                <w:sz w:val="17"/>
              </w:rPr>
              <w:t>V10's destination cannot be live on V10's launch day unless V11 is already up. That is a scheduling decision. No simultaneous publication is approved or assumed here.</w:t>
            </w:r>
          </w:p>
        </w:tc>
      </w:tr>
      <w:tr>
        <w:tc>
          <w:tcPr>
            <w:tcW w:type="dxa" w:w="2304"/>
          </w:tcPr>
          <w:p>
            <w:pPr>
              <w:spacing w:before="60" w:after="60" w:line="264" w:lineRule="auto"/>
            </w:pPr>
            <w:r/>
            <w:r>
              <w:rPr>
                <w:b w:val="0"/>
                <w:i w:val="0"/>
                <w:sz w:val="17"/>
              </w:rPr>
              <w:t>Resource links</w:t>
            </w:r>
          </w:p>
        </w:tc>
        <w:tc>
          <w:tcPr>
            <w:tcW w:type="dxa" w:w="7344"/>
          </w:tcPr>
          <w:p>
            <w:pPr>
              <w:spacing w:before="60" w:after="60" w:line="264" w:lineRule="auto"/>
            </w:pPr>
            <w:r/>
            <w:r>
              <w:rPr>
                <w:b w:val="0"/>
                <w:i w:val="0"/>
                <w:sz w:val="17"/>
              </w:rPr>
              <w:t>One resource per video at most, and V4 carries none. Confirm each URL resolves before upload.</w:t>
            </w:r>
          </w:p>
        </w:tc>
      </w:tr>
    </w:tbl>
    <w:p>
      <w:pPr>
        <w:spacing w:after="120"/>
      </w:pPr>
    </w:p>
    <w:p>
      <w:pPr>
        <w:spacing w:before="320" w:after="120"/>
        <w:keepNext w:val="1"/>
        <w:keepLines w:val="1"/>
      </w:pPr>
      <w:r>
        <w:rPr>
          <w:b/>
          <w:i w:val="0"/>
          <w:color w:val="112345"/>
          <w:sz w:val="26"/>
        </w:rPr>
        <w:t>NOT PERFORMED, AND NOT CLAIMED ANYWHERE</w:t>
      </w:r>
    </w:p>
    <w:p>
      <w:pPr>
        <w:spacing w:after="80" w:line="278" w:lineRule="auto"/>
        <w:ind w:left="547" w:hanging="230"/>
      </w:pPr>
      <w:r>
        <w:rPr>
          <w:sz w:val="20"/>
        </w:rPr>
        <w:t>•   No recording, audio mix or footage review.</w:t>
      </w:r>
    </w:p>
    <w:p>
      <w:pPr>
        <w:spacing w:after="80" w:line="278" w:lineRule="auto"/>
        <w:ind w:left="547" w:hanging="230"/>
      </w:pPr>
      <w:r>
        <w:rPr>
          <w:sz w:val="20"/>
        </w:rPr>
        <w:t>•   No retention, performance or outcome result.</w:t>
      </w:r>
    </w:p>
    <w:p>
      <w:pPr>
        <w:spacing w:after="80" w:line="278" w:lineRule="auto"/>
        <w:ind w:left="547" w:hanging="230"/>
      </w:pPr>
      <w:r>
        <w:rPr>
          <w:sz w:val="20"/>
        </w:rPr>
        <w:t>•   No independent fact-check of existing claims beyond the V4 opening, which was resolved by your approved replacement.</w:t>
      </w:r>
    </w:p>
    <w:p>
      <w:pPr>
        <w:spacing w:after="80" w:line="278" w:lineRule="auto"/>
        <w:ind w:left="547" w:hanging="230"/>
      </w:pPr>
      <w:r>
        <w:rPr>
          <w:sz w:val="20"/>
        </w:rPr>
        <w:t>•   No visual audit of every page of every document. The eight new opening cards were rendered and inspected; the retained cards were re-rendered and measured, not re-designed.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Production readiness is locked. Release approval is yours, after these.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