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DejaVu Serif" w:hAnsi="DejaVu Serif"/>
          <w:b/>
          <w:color w:val="0F2347"/>
          <w:sz w:val="54"/>
        </w:rPr>
        <w:t>MAVEN OFFER</w:t>
        <w:br/>
        <w:t>NAMING + LANDING PAGE</w:t>
        <w:br/>
        <w:t>MASTER COPY</w:t>
      </w:r>
    </w:p>
    <w:p>
      <w:pPr>
        <w:spacing w:before="280"/>
        <w:jc w:val="center"/>
      </w:pPr>
      <w:r>
        <w:rPr>
          <w:rFonts w:ascii="Inter" w:hAnsi="Inter"/>
          <w:color w:val="6A7280"/>
          <w:sz w:val="24"/>
        </w:rPr>
        <w:t>Final, copy-ready implementation guide for the free Lightning Lesson and paid workshop</w:t>
      </w:r>
    </w:p>
    <w:p>
      <w:pPr>
        <w:spacing w:before="560"/>
        <w:jc w:val="center"/>
      </w:pPr>
      <w:r>
        <w:rPr>
          <w:rFonts w:ascii="DejaVu Serif" w:hAnsi="DejaVu Serif"/>
          <w:b/>
          <w:color w:val="C1440E"/>
          <w:sz w:val="36"/>
        </w:rPr>
        <w:t>Temidayo Afonja</w:t>
      </w:r>
    </w:p>
    <w:p>
      <w:pPr>
        <w:jc w:val="center"/>
      </w:pPr>
      <w:r>
        <w:rPr>
          <w:rFonts w:ascii="Inter" w:hAnsi="Inter"/>
          <w:color w:val="0F2347"/>
          <w:sz w:val="20"/>
        </w:rPr>
        <w:t>Capability Formation  |  The Density Group</w:t>
      </w:r>
    </w:p>
    <w:tbl>
      <w:tblPr>
        <w:tblW w:type="auto" w:w="0"/>
        <w:jc w:val="center"/>
        <w:tblLook w:firstColumn="1" w:firstRow="1" w:lastColumn="0" w:lastRow="0" w:noHBand="0" w:noVBand="1" w:val="04A0"/>
      </w:tblPr>
      <w:tblGrid>
        <w:gridCol w:w="2541"/>
        <w:gridCol w:w="2541"/>
        <w:gridCol w:w="2541"/>
        <w:gridCol w:w="2541"/>
      </w:tblGrid>
      <w:tr>
        <w:tc>
          <w:tcPr>
            <w:tcW w:type="dxa" w:w="2541"/>
            <w:shd w:fill="0F2347"/>
            <w:tcBorders>
              <w:top w:val="nil"/>
              <w:left w:val="nil"/>
              <w:bottom w:val="nil"/>
              <w:right w:val="nil"/>
            </w:tcBorders>
          </w:tcPr>
          <w:p/>
        </w:tc>
        <w:tc>
          <w:tcPr>
            <w:tcW w:type="dxa" w:w="2541"/>
            <w:shd w:fill="F5F0E8"/>
            <w:tcBorders>
              <w:top w:val="nil"/>
              <w:left w:val="nil"/>
              <w:bottom w:val="nil"/>
              <w:right w:val="nil"/>
            </w:tcBorders>
          </w:tcPr>
          <w:p/>
        </w:tc>
        <w:tc>
          <w:tcPr>
            <w:tcW w:type="dxa" w:w="2541"/>
            <w:shd w:fill="C9A84C"/>
            <w:tcBorders>
              <w:top w:val="nil"/>
              <w:left w:val="nil"/>
              <w:bottom w:val="nil"/>
              <w:right w:val="nil"/>
            </w:tcBorders>
          </w:tcPr>
          <w:p/>
        </w:tc>
        <w:tc>
          <w:tcPr>
            <w:tcW w:type="dxa" w:w="2541"/>
            <w:shd w:fill="C1440E"/>
            <w:tcBorders>
              <w:top w:val="nil"/>
              <w:left w:val="nil"/>
              <w:bottom w:val="nil"/>
              <w:right w:val="nil"/>
            </w:tcBorders>
          </w:tcPr>
          <w:p/>
        </w:tc>
      </w:tr>
    </w:tbl>
    <w:p>
      <w:pPr>
        <w:spacing w:before="600"/>
        <w:jc w:val="center"/>
      </w:pPr>
      <w:r>
        <w:rPr>
          <w:rFonts w:ascii="Inter" w:hAnsi="Inter"/>
          <w:i/>
          <w:color w:val="0F2347"/>
          <w:sz w:val="20"/>
        </w:rPr>
        <w:t>Naming decision: searchable problem language leads. Proprietary language explains the method.</w:t>
      </w:r>
    </w:p>
    <w:p>
      <w:r>
        <w:br w:type="page"/>
      </w:r>
    </w:p>
    <w:p>
      <w:pPr>
        <w:spacing w:before="240" w:after="60"/>
        <w:keepNext/>
      </w:pPr>
      <w:r>
        <w:rPr>
          <w:rFonts w:ascii="DejaVu Serif" w:hAnsi="DejaVu Serif"/>
          <w:b/>
          <w:color w:val="0F2347"/>
          <w:sz w:val="40"/>
        </w:rPr>
        <w:t>1. Final Naming Architecture</w:t>
      </w:r>
    </w:p>
    <w:p>
      <w:pPr>
        <w:spacing w:after="160"/>
      </w:pPr>
      <w:r>
        <w:rPr>
          <w:rFonts w:ascii="Inter" w:hAnsi="Inter"/>
          <w:color w:val="6A7280"/>
          <w:sz w:val="20"/>
        </w:rPr>
        <w:t>The exact public names and the rule that governs both offers.</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FREE LIGHTNING LESSON - PUBLIC TITLE</w:t>
            </w:r>
          </w:p>
          <w:p>
            <w:pPr>
              <w:spacing w:before="40" w:after="0"/>
            </w:pPr>
            <w:r>
              <w:rPr>
                <w:rFonts w:ascii="Inter" w:hAnsi="Inter"/>
                <w:color w:val="0F2347"/>
                <w:sz w:val="22"/>
              </w:rPr>
              <w:t>How to Tell If Your Career Is Stalling</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FREE LESSON SUBTITLE</w:t>
            </w:r>
          </w:p>
          <w:p>
            <w:pPr>
              <w:spacing w:before="40" w:after="0"/>
            </w:pPr>
            <w:r>
              <w:rPr>
                <w:rFonts w:ascii="Inter" w:hAnsi="Inter"/>
                <w:color w:val="0F2347"/>
                <w:sz w:val="22"/>
              </w:rPr>
              <w:t>Three signs your role may have stopped building your skills and future options, even while you are performing well.</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FREE LESSON BRAND LINE</w:t>
            </w:r>
          </w:p>
          <w:p>
            <w:pPr>
              <w:spacing w:before="40" w:after="0"/>
            </w:pPr>
            <w:r>
              <w:rPr>
                <w:rFonts w:ascii="Inter" w:hAnsi="Inter"/>
                <w:color w:val="0F2347"/>
                <w:sz w:val="22"/>
              </w:rPr>
              <w:t>A Capability Formation Lightning Lesson</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PAID WORKSHOP - PUBLIC TITLE</w:t>
            </w:r>
          </w:p>
          <w:p>
            <w:pPr>
              <w:spacing w:before="40" w:after="0"/>
            </w:pPr>
            <w:r>
              <w:rPr>
                <w:rFonts w:ascii="Inter" w:hAnsi="Inter"/>
                <w:color w:val="0F2347"/>
                <w:sz w:val="22"/>
              </w:rPr>
              <w:t>Decide Whether to Stay or Leave Your Job | A Live Career Growth Assessment</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PAID WORKSHOP METHOD AND BRAND</w:t>
            </w:r>
          </w:p>
          <w:p>
            <w:pPr>
              <w:spacing w:before="40" w:after="0"/>
            </w:pPr>
            <w:r>
              <w:rPr>
                <w:rFonts w:ascii="Inter" w:hAnsi="Inter"/>
                <w:color w:val="0F2347"/>
                <w:sz w:val="22"/>
              </w:rPr>
              <w:t>The Capability Position Read | A Capability Formation Workshop</w:t>
            </w:r>
          </w:p>
        </w:tc>
      </w:tr>
    </w:tbl>
    <w:p>
      <w:pPr>
        <w:spacing w:after="20"/>
      </w:pPr>
    </w:p>
    <w:p>
      <w:pPr>
        <w:spacing w:before="160" w:after="80"/>
        <w:keepNext/>
      </w:pPr>
      <w:r>
        <w:rPr>
          <w:rFonts w:ascii="Inter" w:hAnsi="Inter"/>
          <w:b/>
          <w:color w:val="C1440E"/>
          <w:sz w:val="26"/>
        </w:rPr>
        <w:t>Discovery and naming rule</w:t>
      </w:r>
    </w:p>
    <w:p>
      <w:pPr>
        <w:spacing w:after="120" w:line="259" w:lineRule="auto"/>
      </w:pPr>
      <w:r>
        <w:rPr>
          <w:rFonts w:ascii="Inter" w:hAnsi="Inter"/>
          <w:color w:val="111111"/>
          <w:sz w:val="20"/>
        </w:rPr>
        <w:t>Use the language people already use when they search for help: career stalling, career growth, stay or leave a job, and next move. Keep Capability Formation and the Capability Position Read visible as the proprietary category and method, but do not make unfamiliar language carry the discovery burden.</w:t>
      </w:r>
    </w:p>
    <w:p>
      <w:pPr>
        <w:pStyle w:val="ListBullet"/>
        <w:spacing w:after="60"/>
      </w:pPr>
      <w:r>
        <w:rPr>
          <w:rFonts w:ascii="Inter" w:hAnsi="Inter"/>
          <w:color w:val="111111"/>
          <w:sz w:val="20"/>
        </w:rPr>
        <w:t>The free offer creates recognition: “Is my career stalling even though I am performing well?”</w:t>
      </w:r>
    </w:p>
    <w:p>
      <w:pPr>
        <w:pStyle w:val="ListBullet"/>
        <w:spacing w:after="60"/>
      </w:pPr>
      <w:r>
        <w:rPr>
          <w:rFonts w:ascii="Inter" w:hAnsi="Inter"/>
          <w:color w:val="111111"/>
          <w:sz w:val="20"/>
        </w:rPr>
        <w:t>The paid offer completes assessment and decision: “What is my role actually building, and what move does my evidence support testing?”</w:t>
      </w:r>
    </w:p>
    <w:p>
      <w:pPr>
        <w:pStyle w:val="ListBullet"/>
        <w:spacing w:after="60"/>
      </w:pPr>
      <w:r>
        <w:rPr>
          <w:rFonts w:ascii="Inter" w:hAnsi="Inter"/>
          <w:color w:val="111111"/>
          <w:sz w:val="20"/>
        </w:rPr>
        <w:t>The offer progression is Recognition → Assessment → Decision.</w:t>
      </w:r>
    </w:p>
    <w:p>
      <w:pPr>
        <w:pStyle w:val="ListBullet"/>
        <w:spacing w:after="60"/>
      </w:pPr>
      <w:r>
        <w:rPr>
          <w:rFonts w:ascii="Inter" w:hAnsi="Inter"/>
          <w:color w:val="111111"/>
          <w:sz w:val="20"/>
        </w:rPr>
        <w:t>Do not return to “Is Your Work Still Building You?” as the Maven page title. Keep it as the opening teaching question.</w:t>
      </w:r>
    </w:p>
    <w:p>
      <w:pPr>
        <w:pStyle w:val="ListBullet"/>
        <w:spacing w:after="60"/>
      </w:pPr>
      <w:r>
        <w:rPr>
          <w:rFonts w:ascii="Inter" w:hAnsi="Inter"/>
          <w:color w:val="111111"/>
          <w:sz w:val="20"/>
        </w:rPr>
        <w:t>Do not return to “Should I Stay or Should I Move?” as the workshop title. That name is retired.</w:t>
      </w:r>
    </w:p>
    <w:p>
      <w:pPr>
        <w:spacing w:before="160" w:after="80"/>
        <w:keepNext/>
      </w:pPr>
      <w:r>
        <w:rPr>
          <w:rFonts w:ascii="Inter" w:hAnsi="Inter"/>
          <w:b/>
          <w:color w:val="C1440E"/>
          <w:sz w:val="26"/>
        </w:rPr>
        <w:t>Final duration and pricing</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Free lesson 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45 minutes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Paid workshop 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Two hours live, including a 105-minute guided Capability Position Read and 15 minutes for Q&amp;A and applications.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Paid workshop price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$249 public launch price for the first two paid deliveries.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Pricing language to avoid</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Do not call $249 a founding discount. Do not use the retired $99 or $149 prices. Do not use a discount code.</w:t>
            </w:r>
          </w:p>
        </w:tc>
      </w:tr>
    </w:tbl>
    <w:p>
      <w:pPr>
        <w:spacing w:after="20"/>
      </w:pPr>
    </w:p>
    <w:p>
      <w:pPr>
        <w:spacing w:before="240" w:after="60"/>
        <w:keepNext/>
      </w:pPr>
      <w:r>
        <w:rPr>
          <w:rFonts w:ascii="DejaVu Serif" w:hAnsi="DejaVu Serif"/>
          <w:b/>
          <w:color w:val="0F2347"/>
          <w:sz w:val="40"/>
        </w:rPr>
        <w:t>2. Free Lightning Lesson: Maven Entry</w:t>
      </w:r>
    </w:p>
    <w:p>
      <w:pPr>
        <w:spacing w:after="160"/>
      </w:pPr>
      <w:r>
        <w:rPr>
          <w:rFonts w:ascii="Inter" w:hAnsi="Inter"/>
          <w:color w:val="6A7280"/>
          <w:sz w:val="20"/>
        </w:rPr>
        <w:t>Copy the following into the Maven Lightning Lesson builder.</w:t>
      </w:r>
    </w:p>
    <w:p>
      <w:pPr>
        <w:spacing w:before="160" w:after="80"/>
        <w:keepNext/>
      </w:pPr>
      <w:r>
        <w:rPr>
          <w:rFonts w:ascii="Inter" w:hAnsi="Inter"/>
          <w:b/>
          <w:color w:val="C1440E"/>
          <w:sz w:val="26"/>
        </w:rPr>
        <w:t>Event information</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How to Tell If Your Career Is Stalling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Date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[ENTER CONFIRMED DELIVERY DATE]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Start time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[ENTER CONFIRMED START TIME]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Time zone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America/Chicago</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45 minutes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Event link</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[ADD THE CONFIRMED ZOOM LINK]</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Linked paid product</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 Whether to Stay or Leave Your Job | A Live Career Growth Assessment</w:t>
            </w:r>
          </w:p>
        </w:tc>
      </w:tr>
    </w:tbl>
    <w:p>
      <w:pPr>
        <w:spacing w:after="20"/>
      </w:pPr>
    </w:p>
    <w:p>
      <w:pPr>
        <w:spacing w:before="160" w:after="80"/>
        <w:keepNext/>
      </w:pPr>
      <w:r>
        <w:rPr>
          <w:rFonts w:ascii="Inter" w:hAnsi="Inter"/>
          <w:b/>
          <w:color w:val="C1440E"/>
          <w:sz w:val="26"/>
        </w:rPr>
        <w:t>Lesson image decision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USE THIS SETTING</w:t>
            </w:r>
          </w:p>
          <w:p>
            <w:pPr>
              <w:spacing w:before="40" w:after="0"/>
            </w:pPr>
            <w:r>
              <w:rPr>
                <w:rFonts w:ascii="Inter" w:hAnsi="Inter"/>
                <w:color w:val="0F2347"/>
                <w:sz w:val="22"/>
              </w:rPr>
              <w:t>Use Maven’s automatically generated Lightning Lesson image.</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Do not upload a custom lesson image for the Maven signup page. Maven’s native card already uses the lesson title, your name, your credentials, and your profile headshot. Create separate branded promotional graphics only for LinkedIn, Substack, email, or social sharing.</w:t>
            </w:r>
          </w:p>
        </w:tc>
      </w:tr>
    </w:tbl>
    <w:p>
      <w:pPr>
        <w:spacing w:after="20"/>
      </w:pPr>
    </w:p>
    <w:p>
      <w:pPr>
        <w:spacing w:after="120" w:line="259" w:lineRule="auto"/>
      </w:pPr>
      <w:r>
        <w:rPr>
          <w:rFonts w:ascii="Inter" w:hAnsi="Inter"/>
          <w:color w:val="111111"/>
          <w:sz w:val="20"/>
        </w:rPr>
        <w:t>Before publishing, confirm that your strongest executive headshot is attached to your Maven expert profile and that the profile line reads:</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EXPERT PROFILE LINE</w:t>
            </w:r>
          </w:p>
          <w:p>
            <w:pPr>
              <w:spacing w:before="40" w:after="0"/>
            </w:pPr>
            <w:r>
              <w:rPr>
                <w:rFonts w:ascii="Inter" w:hAnsi="Inter"/>
                <w:color w:val="0F2347"/>
                <w:sz w:val="22"/>
              </w:rPr>
              <w:t>Organizational capability strategist (PwC, Deloitte, EY). Author, The Capability Audit.</w:t>
            </w:r>
          </w:p>
        </w:tc>
      </w:tr>
    </w:tbl>
    <w:p>
      <w:pPr>
        <w:spacing w:after="20"/>
      </w:pPr>
    </w:p>
    <w:p>
      <w:pPr>
        <w:spacing w:before="160" w:after="80"/>
        <w:keepNext/>
      </w:pPr>
      <w:r>
        <w:rPr>
          <w:rFonts w:ascii="Inter" w:hAnsi="Inter"/>
          <w:b/>
          <w:color w:val="C1440E"/>
          <w:sz w:val="26"/>
        </w:rPr>
        <w:t>Three learning outcomes</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1 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Separate Strong Performance From Career Growth</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1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See why being trusted, praised, promoted, or heavily relied upon does not automatically mean your role is building transferable capability.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2 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Recognize Three Signs Your Career May Be Stalling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2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Identify when repeated work, company-specific value, or growing dependence on you may be narrowing the skills and future options you are building.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3 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Know What to Examine Before Making a Move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3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Leave with an evidence-based question that shows whether your role deserves deeper assessment, without forcing a rushed stay-or-leave decision.</w:t>
            </w:r>
          </w:p>
        </w:tc>
      </w:tr>
    </w:tbl>
    <w:p>
      <w:pPr>
        <w:spacing w:after="20"/>
      </w:pPr>
    </w:p>
    <w:p>
      <w:pPr>
        <w:spacing w:before="160" w:after="80"/>
        <w:keepNext/>
      </w:pPr>
      <w:r>
        <w:rPr>
          <w:rFonts w:ascii="Inter" w:hAnsi="Inter"/>
          <w:b/>
          <w:color w:val="C1440E"/>
          <w:sz w:val="26"/>
        </w:rPr>
        <w:t>Why this topic matters</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PASTE INTO THE 400-CHARACTER FIELD</w:t>
            </w:r>
          </w:p>
          <w:p>
            <w:pPr>
              <w:spacing w:before="40" w:after="0"/>
            </w:pPr>
            <w:r>
              <w:rPr>
                <w:rFonts w:ascii="Inter" w:hAnsi="Inter"/>
                <w:color w:val="0F2347"/>
                <w:sz w:val="22"/>
              </w:rPr>
              <w:t>Many capable professionals assume that strong performance, greater responsibility, or being indispensable means their careers are still growing. But a role can keep rewarding you while narrowing the skills and options you are building. This lesson will help you recognize three early warning signs and identify what deserves a closer look before career stagnation becomes harder to reverse.</w:t>
            </w:r>
          </w:p>
        </w:tc>
      </w:tr>
    </w:tbl>
    <w:p>
      <w:pPr>
        <w:spacing w:after="20"/>
      </w:pPr>
    </w:p>
    <w:p>
      <w:pPr>
        <w:spacing w:before="160" w:after="80"/>
        <w:keepNext/>
      </w:pPr>
      <w:r>
        <w:rPr>
          <w:rFonts w:ascii="Inter" w:hAnsi="Inter"/>
          <w:b/>
          <w:color w:val="C1440E"/>
          <w:sz w:val="26"/>
        </w:rPr>
        <w:t>What the free lesson teaches</w:t>
      </w:r>
    </w:p>
    <w:p>
      <w:pPr>
        <w:pStyle w:val="ListBullet"/>
        <w:spacing w:after="60"/>
      </w:pPr>
      <w:r>
        <w:rPr>
          <w:rFonts w:ascii="Inter" w:hAnsi="Inter"/>
          <w:color w:val="111111"/>
          <w:sz w:val="20"/>
        </w:rPr>
        <w:t>Performance can be mistaken for growth.</w:t>
      </w:r>
    </w:p>
    <w:p>
      <w:pPr>
        <w:pStyle w:val="ListBullet"/>
        <w:spacing w:after="60"/>
      </w:pPr>
      <w:r>
        <w:rPr>
          <w:rFonts w:ascii="Inter" w:hAnsi="Inter"/>
          <w:color w:val="111111"/>
          <w:sz w:val="20"/>
        </w:rPr>
        <w:t>Indispensability can be mistaken for optionality.</w:t>
      </w:r>
    </w:p>
    <w:p>
      <w:pPr>
        <w:pStyle w:val="ListBullet"/>
        <w:spacing w:after="60"/>
      </w:pPr>
      <w:r>
        <w:rPr>
          <w:rFonts w:ascii="Inter" w:hAnsi="Inter"/>
          <w:color w:val="111111"/>
          <w:sz w:val="20"/>
        </w:rPr>
        <w:t>Greater responsibility can be mistaken for capability expansion.</w:t>
      </w:r>
    </w:p>
    <w:p>
      <w:pPr>
        <w:pStyle w:val="ListBullet"/>
        <w:spacing w:after="60"/>
      </w:pPr>
      <w:r>
        <w:rPr>
          <w:rFonts w:ascii="Inter" w:hAnsi="Inter"/>
          <w:color w:val="111111"/>
          <w:sz w:val="20"/>
        </w:rPr>
        <w:t>The participant privately identifies which sign is most present, one example from the last 90 days, and what deserves closer examination.</w:t>
      </w:r>
    </w:p>
    <w:p>
      <w:pPr>
        <w:spacing w:after="120" w:line="259" w:lineRule="auto"/>
      </w:pPr>
      <w:r>
        <w:rPr>
          <w:rFonts w:ascii="Inter" w:hAnsi="Inter"/>
          <w:color w:val="111111"/>
          <w:sz w:val="20"/>
        </w:rPr>
        <w:t>The free lesson does not administer the 12-statement instrument, teach the evidence protocol, calculate corrected totals, assign a Four States placement, produce a Next-Move Decision, or unlock the Field Kit process.</w:t>
      </w:r>
    </w:p>
    <w:p>
      <w:pPr>
        <w:spacing w:before="160" w:after="80"/>
        <w:keepNext/>
      </w:pPr>
      <w:r>
        <w:rPr>
          <w:rFonts w:ascii="Inter" w:hAnsi="Inter"/>
          <w:b/>
          <w:color w:val="C1440E"/>
          <w:sz w:val="26"/>
        </w:rPr>
        <w:t>45-minute session promise</w:t>
      </w:r>
    </w:p>
    <w:p>
      <w:pPr>
        <w:spacing w:before="80" w:after="120"/>
      </w:pPr>
      <w:r>
        <w:rPr>
          <w:i/>
          <w:sz w:val="19"/>
        </w:rPr>
        <w:t>[Aligned for Lightning Lesson v3.1 — updated so this sequence matches the current deck: boundary and outcomes lead, a personal story replaces the old “question underneath” framing, the three signs are followed by the Career Stall Check and an interpretation beat, and Q&amp;A now runs after the paid-workshop bridge, not before it.]</w:t>
      </w:r>
    </w:p>
    <w:p>
      <w:pPr>
        <w:spacing w:before="40" w:after="120"/>
      </w:pPr>
      <w:r>
        <w:rPr>
          <w:i/>
          <w:sz w:val="19"/>
        </w:rPr>
        <w:t>[Aligned for Lightning Lesson v3.2 — the free lesson now opens with a Welcome slide introducing Temidayo and her authority, followed by a concise boundary statement on its own slide, before the opening poll; all three fall within the 0:00-5:00 block below. The old undifferentiated “welcome, boundary, and opening poll” framing is replaced accordingly; total duration remains 45 minutes.]</w:t>
      </w:r>
    </w:p>
    <w:tbl>
      <w:tblPr>
        <w:tblW w:type="auto" w:w="0"/>
        <w:jc w:val="center"/>
        <w:tblLayout w:type="fixed"/>
        <w:tblLook w:firstColumn="1" w:firstRow="1" w:lastColumn="0" w:lastRow="0" w:noHBand="0" w:noVBand="1" w:val="04A0"/>
      </w:tblPr>
      <w:tblGrid>
        <w:gridCol w:w="2592"/>
        <w:gridCol w:w="7200"/>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Time</w:t>
            </w:r>
          </w:p>
        </w:tc>
        <w:tc>
          <w:tcPr>
            <w:tcW w:type="dxa" w:w="5083"/>
            <w:shd w:fill="0F2347"/>
            <w:tcMar>
              <w:top w:w="100" w:type="dxa"/>
              <w:start w:w="120" w:type="dxa"/>
              <w:bottom w:w="100" w:type="dxa"/>
              <w:end w:w="120" w:type="dxa"/>
            </w:tcMar>
          </w:tcPr>
          <w:p>
            <w:r>
              <w:rPr>
                <w:rFonts w:ascii="Inter" w:hAnsi="Inter"/>
                <w:b/>
                <w:color w:val="FFFFFF"/>
                <w:sz w:val="18"/>
              </w:rPr>
              <w:t>Session segment</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0:00-3:00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Title and Welcome — introducing Temidayo and why she built this lesson</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3:00-5:00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Concise boundary and opening poll</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5:00-8:00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What you’ll leave with and the central insight</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8:00-23:00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The three signs</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23:00-28:00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Career Stall Check</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28:00-31:00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Interpret without diagnosing</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31:00-34:00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Bridge to the paid workshop</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34:00-45:00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Q&amp;A</w:t>
            </w:r>
          </w:p>
        </w:tc>
      </w:tr>
    </w:tbl>
    <w:p>
      <w:pPr>
        <w:spacing w:after="20"/>
      </w:pPr>
    </w:p>
    <w:p>
      <w:pPr>
        <w:spacing w:before="240" w:after="60"/>
        <w:keepNext/>
      </w:pPr>
      <w:r>
        <w:rPr>
          <w:rFonts w:ascii="DejaVu Serif" w:hAnsi="DejaVu Serif"/>
          <w:b/>
          <w:color w:val="0F2347"/>
          <w:sz w:val="40"/>
        </w:rPr>
        <w:t>3. Free Lesson: Public Page and Promotion Copy</w:t>
      </w:r>
    </w:p>
    <w:p>
      <w:pPr>
        <w:spacing w:after="160"/>
      </w:pPr>
      <w:r>
        <w:rPr>
          <w:rFonts w:ascii="Inter" w:hAnsi="Inter"/>
          <w:color w:val="6A7280"/>
          <w:sz w:val="20"/>
        </w:rPr>
        <w:t>Use this language outside the builder fields when Maven provides a description, email, or course-promo area.</w:t>
      </w:r>
    </w:p>
    <w:p>
      <w:pPr>
        <w:spacing w:before="160" w:after="80"/>
        <w:keepNext/>
      </w:pPr>
      <w:r>
        <w:rPr>
          <w:rFonts w:ascii="Inter" w:hAnsi="Inter"/>
          <w:b/>
          <w:color w:val="C1440E"/>
          <w:sz w:val="26"/>
        </w:rPr>
        <w:t>Canonical public lockup</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TITLE</w:t>
            </w:r>
          </w:p>
          <w:p>
            <w:pPr>
              <w:spacing w:before="40" w:after="0"/>
            </w:pPr>
            <w:r>
              <w:rPr>
                <w:rFonts w:ascii="Inter" w:hAnsi="Inter"/>
                <w:color w:val="0F2347"/>
                <w:sz w:val="22"/>
              </w:rPr>
              <w:t>How to Tell If Your Career Is Stalling</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SUBTITLE</w:t>
            </w:r>
          </w:p>
          <w:p>
            <w:pPr>
              <w:spacing w:before="40" w:after="0"/>
            </w:pPr>
            <w:r>
              <w:rPr>
                <w:rFonts w:ascii="Inter" w:hAnsi="Inter"/>
                <w:color w:val="0F2347"/>
                <w:sz w:val="22"/>
              </w:rPr>
              <w:t>Three signs your role may have stopped building your skills and future options, even while you are performing well.</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BRAND LINE</w:t>
            </w:r>
          </w:p>
          <w:p>
            <w:pPr>
              <w:spacing w:before="40" w:after="0"/>
            </w:pPr>
            <w:r>
              <w:rPr>
                <w:rFonts w:ascii="Inter" w:hAnsi="Inter"/>
                <w:color w:val="0F2347"/>
                <w:sz w:val="22"/>
              </w:rPr>
              <w:t>A Capability Formation Lightning Lesson</w:t>
            </w:r>
          </w:p>
        </w:tc>
      </w:tr>
    </w:tbl>
    <w:p>
      <w:pPr>
        <w:spacing w:after="20"/>
      </w:pPr>
    </w:p>
    <w:p>
      <w:pPr>
        <w:spacing w:before="160" w:after="80"/>
        <w:keepNext/>
      </w:pPr>
      <w:r>
        <w:rPr>
          <w:rFonts w:ascii="Inter" w:hAnsi="Inter"/>
          <w:b/>
          <w:color w:val="C1440E"/>
          <w:sz w:val="26"/>
        </w:rPr>
        <w:t>Short promotional description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USE IN MAVEN EMAILS, LINKEDIN EVENT COPY, AND CALENDAR DESCRIPTIONS</w:t>
            </w:r>
          </w:p>
          <w:p>
            <w:pPr>
              <w:spacing w:before="40" w:after="0"/>
            </w:pPr>
            <w:r>
              <w:rPr>
                <w:rFonts w:ascii="Inter" w:hAnsi="Inter"/>
                <w:color w:val="0F2347"/>
                <w:sz w:val="22"/>
              </w:rPr>
              <w:t>A free 45-minute lesson for capable professionals who are performing well but are no longer sure their role is still building valuable skills and future options. Learn three signs that career growth may have slowed before you make a rushed decision to stay or leave.</w:t>
            </w:r>
          </w:p>
        </w:tc>
      </w:tr>
    </w:tbl>
    <w:p>
      <w:pPr>
        <w:spacing w:after="20"/>
      </w:pPr>
    </w:p>
    <w:p>
      <w:pPr>
        <w:spacing w:before="160" w:after="80"/>
        <w:keepNext/>
      </w:pPr>
      <w:r>
        <w:rPr>
          <w:rFonts w:ascii="Inter" w:hAnsi="Inter"/>
          <w:b/>
          <w:color w:val="C1440E"/>
          <w:sz w:val="26"/>
        </w:rPr>
        <w:t>Opening teaching question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KEEP THIS INSIDE THE LESSON, NOT AS THE MAVEN TITLE</w:t>
            </w:r>
          </w:p>
          <w:p>
            <w:pPr>
              <w:spacing w:before="40" w:after="0"/>
            </w:pPr>
            <w:r>
              <w:rPr>
                <w:rFonts w:ascii="Inter" w:hAnsi="Inter"/>
                <w:color w:val="0F2347"/>
                <w:sz w:val="22"/>
              </w:rPr>
              <w:t>Is your work still building you?</w:t>
            </w:r>
          </w:p>
        </w:tc>
      </w:tr>
    </w:tbl>
    <w:p>
      <w:pPr>
        <w:spacing w:after="20"/>
      </w:pPr>
    </w:p>
    <w:p>
      <w:pPr>
        <w:spacing w:before="160" w:after="80"/>
        <w:keepNext/>
      </w:pPr>
      <w:r>
        <w:rPr>
          <w:rFonts w:ascii="Inter" w:hAnsi="Inter"/>
          <w:b/>
          <w:color w:val="C1440E"/>
          <w:sz w:val="26"/>
        </w:rPr>
        <w:t>Bridge to the workshop</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SAY NEAR THE CLOSE</w:t>
            </w:r>
          </w:p>
          <w:p>
            <w:pPr>
              <w:spacing w:before="40" w:after="0"/>
            </w:pPr>
            <w:r>
              <w:rPr>
                <w:rFonts w:ascii="Inter" w:hAnsi="Inter"/>
                <w:color w:val="0F2347"/>
                <w:sz w:val="22"/>
              </w:rPr>
              <w:t>Today was designed to help you recognize the signals. The paid workshop is where you examine your own position. You will complete the full Capability Position Read, correct your score against evidence from your actual work, locate your provisional state, and write the category of move your evidence supports testing.</w:t>
            </w:r>
          </w:p>
        </w:tc>
      </w:tr>
    </w:tbl>
    <w:p>
      <w:pPr>
        <w:spacing w:after="20"/>
      </w:pPr>
    </w:p>
    <w:p>
      <w:pPr>
        <w:spacing w:before="160" w:after="80"/>
        <w:keepNext/>
      </w:pPr>
      <w:r>
        <w:rPr>
          <w:rFonts w:ascii="Inter" w:hAnsi="Inter"/>
          <w:b/>
          <w:color w:val="C1440E"/>
          <w:sz w:val="26"/>
        </w:rPr>
        <w:t>Course-promo connection</w:t>
      </w:r>
    </w:p>
    <w:p>
      <w:pPr>
        <w:spacing w:after="120" w:line="259" w:lineRule="auto"/>
      </w:pPr>
      <w:r>
        <w:rPr>
          <w:rFonts w:ascii="Inter" w:hAnsi="Inter"/>
          <w:color w:val="111111"/>
          <w:sz w:val="20"/>
        </w:rPr>
        <w:t>Connect the Lightning Lesson to the paid workshop in Maven so the page can display it as the related product and so registrants can join the workshop interest list.</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RELATED PRODUCT</w:t>
            </w:r>
          </w:p>
          <w:p>
            <w:pPr>
              <w:spacing w:before="40" w:after="0"/>
            </w:pPr>
            <w:r>
              <w:rPr>
                <w:rFonts w:ascii="Inter" w:hAnsi="Inter"/>
                <w:color w:val="0F2347"/>
                <w:sz w:val="22"/>
              </w:rPr>
              <w:t>Decide Whether to Stay or Leave Your Job | A Live Career Growth Assessment</w:t>
            </w:r>
          </w:p>
        </w:tc>
      </w:tr>
    </w:tbl>
    <w:p>
      <w:pPr>
        <w:spacing w:after="20"/>
      </w:pPr>
    </w:p>
    <w:p>
      <w:pPr>
        <w:spacing w:before="240" w:after="60"/>
        <w:keepNext/>
      </w:pPr>
      <w:r>
        <w:rPr>
          <w:rFonts w:ascii="DejaVu Serif" w:hAnsi="DejaVu Serif"/>
          <w:b/>
          <w:color w:val="0F2347"/>
          <w:sz w:val="40"/>
        </w:rPr>
        <w:t>4. Paid Workshop: Maven Setup</w:t>
      </w:r>
    </w:p>
    <w:p>
      <w:pPr>
        <w:spacing w:after="160"/>
      </w:pPr>
      <w:r>
        <w:rPr>
          <w:rFonts w:ascii="Inter" w:hAnsi="Inter"/>
          <w:color w:val="6A7280"/>
          <w:sz w:val="20"/>
        </w:rPr>
        <w:t>Exact name, URL, format, pricing, and image direction.</w:t>
      </w:r>
    </w:p>
    <w:p>
      <w:pPr>
        <w:spacing w:before="160" w:after="80"/>
        <w:keepNext/>
      </w:pPr>
      <w:r>
        <w:rPr>
          <w:rFonts w:ascii="Inter" w:hAnsi="Inter"/>
          <w:b/>
          <w:color w:val="C1440E"/>
          <w:sz w:val="26"/>
        </w:rPr>
        <w:t>Workshop identity</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Workshop name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 Whether to Stay or Leave Your Job | A Live Career Growth Assessment</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Recommended URL slug</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decide-whether-to-stay-or-leave-your-job</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Method line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The Capability Position Read</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Brand line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 Capability Formation Workshop</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Format</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Two hours live, including a 105-minute guided Capability Position Read and 15 minutes for Q&amp;A and applications.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Cohort size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Limit the first delivery to 15 participants. Preferred ceiling: 20.</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$249</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Price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Public launch price for the first two paid deliveries. Not a founding discount.</w:t>
            </w:r>
          </w:p>
        </w:tc>
      </w:tr>
    </w:tbl>
    <w:p>
      <w:pPr>
        <w:spacing w:after="20"/>
      </w:pPr>
    </w:p>
    <w:p>
      <w:pPr>
        <w:spacing w:before="160" w:after="80"/>
        <w:keepNext/>
      </w:pPr>
      <w:r>
        <w:rPr>
          <w:rFonts w:ascii="Inter" w:hAnsi="Inter"/>
          <w:b/>
          <w:color w:val="C1440E"/>
          <w:sz w:val="26"/>
        </w:rPr>
        <w:t>Maven workshop image decision</w:t>
      </w:r>
    </w:p>
    <w:p>
      <w:pPr>
        <w:spacing w:after="120" w:line="259" w:lineRule="auto"/>
      </w:pPr>
      <w:r>
        <w:rPr>
          <w:rFonts w:ascii="Inter" w:hAnsi="Inter"/>
          <w:color w:val="111111"/>
          <w:sz w:val="20"/>
        </w:rPr>
        <w:t>The paid workshop should use a custom image, but it should not repeat the full landing-page title as a crowded poster. Maven already displays the title as page text.</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WORKSHOP HERO IMAGE COPY</w:t>
            </w:r>
          </w:p>
          <w:p>
            <w:pPr>
              <w:spacing w:before="40" w:after="0"/>
            </w:pPr>
            <w:r>
              <w:rPr>
                <w:rFonts w:ascii="Inter" w:hAnsi="Inter"/>
                <w:color w:val="0F2347"/>
                <w:sz w:val="22"/>
              </w:rPr>
              <w:t>A CAPABILITY FORMATION WORKSHOP</w:t>
              <w:br/>
              <w:br/>
              <w:t>THE CAPABILITY POSITION READ</w:t>
              <w:br/>
              <w:br/>
              <w:t>TEMIDAYO AFONJA</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Use a warm cream background (#F5F0E8), your executive headshot on the right, deep navy typography (#0F2347), muted-gold details (#C9A84C), restrained rust (#C1440E), subtle vertical lines, and the canonical 2x2 Capability Formation mark. Do not include “1-DAY WORKSHOP.” Do not place the full workshop title inside the hero image.</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SOCIAL-SHARE IMAGE COPY</w:t>
            </w:r>
          </w:p>
          <w:p>
            <w:pPr>
              <w:spacing w:before="40" w:after="0"/>
            </w:pPr>
            <w:r>
              <w:rPr>
                <w:rFonts w:ascii="Inter" w:hAnsi="Inter"/>
                <w:color w:val="0F2347"/>
                <w:sz w:val="22"/>
              </w:rPr>
              <w:t>Decide Whether to Stay or Leave Your Job</w:t>
              <w:br/>
              <w:t>A Live Career Growth Assessment</w:t>
              <w:br/>
              <w:t>The Capability Position Read</w:t>
              <w:br/>
              <w:t>Temidayo Afonja</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The social-share image can carry the full title because it must communicate independently outside Maven.</w:t>
            </w:r>
          </w:p>
        </w:tc>
      </w:tr>
    </w:tbl>
    <w:p>
      <w:pPr>
        <w:spacing w:after="20"/>
      </w:pPr>
    </w:p>
    <w:p>
      <w:pPr>
        <w:spacing w:before="160" w:after="80"/>
        <w:keepNext/>
      </w:pPr>
      <w:r>
        <w:rPr>
          <w:rFonts w:ascii="Inter" w:hAnsi="Inter"/>
          <w:b/>
          <w:color w:val="C1440E"/>
          <w:sz w:val="26"/>
        </w:rPr>
        <w:t>One-sentence workshop description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USE BENEATH THE HERO OR IN A SUMMARY FIELD</w:t>
            </w:r>
          </w:p>
          <w:p>
            <w:pPr>
              <w:spacing w:before="40" w:after="0"/>
            </w:pPr>
            <w:r>
              <w:rPr>
                <w:rFonts w:ascii="Inter" w:hAnsi="Inter"/>
                <w:color w:val="0F2347"/>
                <w:sz w:val="22"/>
              </w:rPr>
              <w:t>Evaluate whether your current role is still building valuable capability, then choose an evidence-based next move: stay and compound, reshape the role, rebuild your options, or prepare to leave.</w:t>
            </w:r>
          </w:p>
        </w:tc>
      </w:tr>
    </w:tbl>
    <w:p>
      <w:pPr>
        <w:spacing w:after="20"/>
      </w:pPr>
    </w:p>
    <w:p>
      <w:pPr>
        <w:spacing w:before="240" w:after="60"/>
        <w:keepNext/>
      </w:pPr>
      <w:r>
        <w:rPr>
          <w:rFonts w:ascii="DejaVu Serif" w:hAnsi="DejaVu Serif"/>
          <w:b/>
          <w:color w:val="0F2347"/>
          <w:sz w:val="40"/>
        </w:rPr>
        <w:t>5. Paid Workshop: Main Landing Page Copy</w:t>
      </w:r>
    </w:p>
    <w:p>
      <w:pPr>
        <w:spacing w:after="160"/>
      </w:pPr>
      <w:r>
        <w:rPr>
          <w:rFonts w:ascii="Inter" w:hAnsi="Inter"/>
          <w:color w:val="6A7280"/>
          <w:sz w:val="20"/>
        </w:rPr>
        <w:t>Copy-ready overview and transformation language.</w:t>
      </w:r>
    </w:p>
    <w:p>
      <w:pPr>
        <w:spacing w:before="160" w:after="80"/>
        <w:keepNext/>
      </w:pPr>
      <w:r>
        <w:rPr>
          <w:rFonts w:ascii="Inter" w:hAnsi="Inter"/>
          <w:b/>
          <w:color w:val="C1440E"/>
          <w:sz w:val="26"/>
        </w:rPr>
        <w:t>Primary page headline</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See What Your Current Role Is Building Before You Decide What Comes Next</w:t>
            </w:r>
          </w:p>
        </w:tc>
      </w:tr>
    </w:tbl>
    <w:p>
      <w:pPr>
        <w:spacing w:after="20"/>
      </w:pPr>
    </w:p>
    <w:p>
      <w:pPr>
        <w:spacing w:before="160" w:after="80"/>
        <w:keepNext/>
      </w:pPr>
      <w:r>
        <w:rPr>
          <w:rFonts w:ascii="Inter" w:hAnsi="Inter"/>
          <w:b/>
          <w:color w:val="C1440E"/>
          <w:sz w:val="26"/>
        </w:rPr>
        <w:t>Overview copy</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PASTE INTO THE MAIN OVERVIEW SECTION</w:t>
            </w:r>
          </w:p>
          <w:p>
            <w:pPr>
              <w:spacing w:before="40" w:after="0"/>
            </w:pPr>
            <w:r>
              <w:rPr>
                <w:rFonts w:ascii="Inter" w:hAnsi="Inter"/>
                <w:color w:val="0F2347"/>
                <w:sz w:val="22"/>
              </w:rPr>
              <w:t>Capable professionals do not always recognize career stagnation when it begins.</w:t>
              <w:br/>
              <w:br/>
              <w:t>A role may still reward you, rely on you, and keep you busy while gradually narrowing the capabilities and options you are building. At the same time, a difficult quarter, a demanding manager, or a temporary loss of motivation does not automatically mean you should leave.</w:t>
              <w:br/>
              <w:br/>
              <w:t>This workshop gives you a more reliable basis for deciding.</w:t>
              <w:br/>
              <w:br/>
              <w:t>During the live session, you will complete the 12-statement Capability Position Read, test your answers against evidence from your actual work, correct your initial score, and locate your provisional position across the Four States of Capability Formation.</w:t>
              <w:br/>
              <w:br/>
              <w:t>You will then translate that result into a practical category of move: stay and continue compounding, reshape the role, rebuild external options while you remain, prepare intentionally to leave, or seek an external perspective when the evidence is incomplete.</w:t>
              <w:br/>
              <w:br/>
              <w:t>You will not be told what choice to make. You will leave with a clearer view of what your work is forming, what may be at risk, and what evidence should guide your decision.</w:t>
              <w:br/>
              <w:br/>
              <w:t>This is not a personality quiz or a general conversation about job satisfaction. It is a structured assessment of your current career position.</w:t>
            </w:r>
          </w:p>
        </w:tc>
      </w:tr>
    </w:tbl>
    <w:p>
      <w:pPr>
        <w:spacing w:after="20"/>
      </w:pPr>
    </w:p>
    <w:p>
      <w:pPr>
        <w:spacing w:before="160" w:after="80"/>
        <w:keepNext/>
      </w:pPr>
      <w:r>
        <w:rPr>
          <w:rFonts w:ascii="Inter" w:hAnsi="Inter"/>
          <w:b/>
          <w:color w:val="C1440E"/>
          <w:sz w:val="26"/>
        </w:rPr>
        <w:t>What you will learn - introduction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INTRODUCTORY LINE</w:t>
            </w:r>
          </w:p>
          <w:p>
            <w:pPr>
              <w:spacing w:before="40" w:after="0"/>
            </w:pPr>
            <w:r>
              <w:rPr>
                <w:rFonts w:ascii="Inter" w:hAnsi="Inter"/>
                <w:color w:val="0F2347"/>
                <w:sz w:val="22"/>
              </w:rPr>
              <w:t>Separate job satisfaction from capability growth and make a career decision you can explain with evidence.</w:t>
            </w:r>
          </w:p>
        </w:tc>
      </w:tr>
    </w:tbl>
    <w:p>
      <w:pPr>
        <w:spacing w:after="20"/>
      </w:pPr>
    </w:p>
    <w:p>
      <w:pPr>
        <w:spacing w:before="160" w:after="80"/>
        <w:keepNext/>
      </w:pPr>
      <w:r>
        <w:rPr>
          <w:rFonts w:ascii="Inter" w:hAnsi="Inter"/>
          <w:b/>
          <w:color w:val="C1440E"/>
          <w:sz w:val="26"/>
        </w:rPr>
        <w:t>Outcome block 1</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Evaluate What Your Current Role Is Actually Building</w:t>
            </w:r>
          </w:p>
        </w:tc>
      </w:tr>
    </w:tbl>
    <w:p>
      <w:pPr>
        <w:spacing w:after="20"/>
      </w:pPr>
    </w:p>
    <w:p>
      <w:pPr>
        <w:pStyle w:val="ListBullet"/>
        <w:spacing w:after="60"/>
      </w:pPr>
      <w:r>
        <w:rPr>
          <w:rFonts w:ascii="Inter" w:hAnsi="Inter"/>
          <w:color w:val="111111"/>
          <w:sz w:val="20"/>
        </w:rPr>
        <w:t>Complete 12 statements using evidence from your recent work.</w:t>
      </w:r>
    </w:p>
    <w:p>
      <w:pPr>
        <w:pStyle w:val="ListBullet"/>
        <w:spacing w:after="60"/>
      </w:pPr>
      <w:r>
        <w:rPr>
          <w:rFonts w:ascii="Inter" w:hAnsi="Inter"/>
          <w:color w:val="111111"/>
          <w:sz w:val="20"/>
        </w:rPr>
        <w:t>Separate strong performance from transferable capability growth.</w:t>
      </w:r>
    </w:p>
    <w:p>
      <w:pPr>
        <w:pStyle w:val="ListBullet"/>
        <w:spacing w:after="60"/>
      </w:pPr>
      <w:r>
        <w:rPr>
          <w:rFonts w:ascii="Inter" w:hAnsi="Inter"/>
          <w:color w:val="111111"/>
          <w:sz w:val="20"/>
        </w:rPr>
        <w:t>Identify where your role is expanding or narrowing your skills, judgment, relationships, and future options.</w:t>
      </w:r>
    </w:p>
    <w:p>
      <w:pPr>
        <w:spacing w:before="160" w:after="80"/>
        <w:keepNext/>
      </w:pPr>
      <w:r>
        <w:rPr>
          <w:rFonts w:ascii="Inter" w:hAnsi="Inter"/>
          <w:b/>
          <w:color w:val="C1440E"/>
          <w:sz w:val="26"/>
        </w:rPr>
        <w:t>Outcome block 2</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Correct the Assumptions That Distort Career Decisions</w:t>
            </w:r>
          </w:p>
        </w:tc>
      </w:tr>
    </w:tbl>
    <w:p>
      <w:pPr>
        <w:spacing w:after="20"/>
      </w:pPr>
    </w:p>
    <w:p>
      <w:pPr>
        <w:pStyle w:val="ListBullet"/>
        <w:spacing w:after="60"/>
      </w:pPr>
      <w:r>
        <w:rPr>
          <w:rFonts w:ascii="Inter" w:hAnsi="Inter"/>
          <w:color w:val="111111"/>
          <w:sz w:val="20"/>
        </w:rPr>
        <w:t>Test your initial responses against specific examples.</w:t>
      </w:r>
    </w:p>
    <w:p>
      <w:pPr>
        <w:pStyle w:val="ListBullet"/>
        <w:spacing w:after="60"/>
      </w:pPr>
      <w:r>
        <w:rPr>
          <w:rFonts w:ascii="Inter" w:hAnsi="Inter"/>
          <w:color w:val="111111"/>
          <w:sz w:val="20"/>
        </w:rPr>
        <w:t>Identify where title, tenure, praise, or indispensability may be inflating your assessment.</w:t>
      </w:r>
    </w:p>
    <w:p>
      <w:pPr>
        <w:pStyle w:val="ListBullet"/>
        <w:spacing w:after="60"/>
      </w:pPr>
      <w:r>
        <w:rPr>
          <w:rFonts w:ascii="Inter" w:hAnsi="Inter"/>
          <w:color w:val="111111"/>
          <w:sz w:val="20"/>
        </w:rPr>
        <w:t>Distinguish a temporary difficult season from a more structural capability problem.</w:t>
      </w:r>
    </w:p>
    <w:p>
      <w:pPr>
        <w:spacing w:before="160" w:after="80"/>
        <w:keepNext/>
      </w:pPr>
      <w:r>
        <w:rPr>
          <w:rFonts w:ascii="Inter" w:hAnsi="Inter"/>
          <w:b/>
          <w:color w:val="C1440E"/>
          <w:sz w:val="26"/>
        </w:rPr>
        <w:t>Outcome block 3</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Locate Your Provisional Career State</w:t>
            </w:r>
          </w:p>
        </w:tc>
      </w:tr>
    </w:tbl>
    <w:p>
      <w:pPr>
        <w:spacing w:after="20"/>
      </w:pPr>
    </w:p>
    <w:p>
      <w:pPr>
        <w:pStyle w:val="ListBullet"/>
        <w:spacing w:after="60"/>
      </w:pPr>
      <w:r>
        <w:rPr>
          <w:rFonts w:ascii="Inter" w:hAnsi="Inter"/>
          <w:color w:val="111111"/>
          <w:sz w:val="20"/>
        </w:rPr>
        <w:t>Interpret your position across Compounding, Depth Trap, Stagnant, and Fragile.</w:t>
      </w:r>
    </w:p>
    <w:p>
      <w:pPr>
        <w:pStyle w:val="ListBullet"/>
        <w:spacing w:after="60"/>
      </w:pPr>
      <w:r>
        <w:rPr>
          <w:rFonts w:ascii="Inter" w:hAnsi="Inter"/>
          <w:color w:val="111111"/>
          <w:sz w:val="20"/>
        </w:rPr>
        <w:t>See how Density and Optionality interact in your current role.</w:t>
      </w:r>
    </w:p>
    <w:p>
      <w:pPr>
        <w:pStyle w:val="ListBullet"/>
        <w:spacing w:after="60"/>
      </w:pPr>
      <w:r>
        <w:rPr>
          <w:rFonts w:ascii="Inter" w:hAnsi="Inter"/>
          <w:color w:val="111111"/>
          <w:sz w:val="20"/>
        </w:rPr>
        <w:t>Understand the exposure associated with your position without treating the result as a permanent identity.</w:t>
      </w:r>
    </w:p>
    <w:p>
      <w:pPr>
        <w:spacing w:before="160" w:after="80"/>
        <w:keepNext/>
      </w:pPr>
      <w:r>
        <w:rPr>
          <w:rFonts w:ascii="Inter" w:hAnsi="Inter"/>
          <w:b/>
          <w:color w:val="C1440E"/>
          <w:sz w:val="26"/>
        </w:rPr>
        <w:t>Outcome block 4</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Choose an Evidence-Based Next Move</w:t>
            </w:r>
          </w:p>
        </w:tc>
      </w:tr>
    </w:tbl>
    <w:p>
      <w:pPr>
        <w:spacing w:after="20"/>
      </w:pPr>
    </w:p>
    <w:p>
      <w:pPr>
        <w:pStyle w:val="ListBullet"/>
        <w:spacing w:after="60"/>
      </w:pPr>
      <w:r>
        <w:rPr>
          <w:rFonts w:ascii="Inter" w:hAnsi="Inter"/>
          <w:color w:val="111111"/>
          <w:sz w:val="20"/>
        </w:rPr>
        <w:t>Decide which category of move your evidence supports testing.</w:t>
      </w:r>
    </w:p>
    <w:p>
      <w:pPr>
        <w:pStyle w:val="ListBullet"/>
        <w:spacing w:after="60"/>
      </w:pPr>
      <w:r>
        <w:rPr>
          <w:rFonts w:ascii="Inter" w:hAnsi="Inter"/>
          <w:color w:val="111111"/>
          <w:sz w:val="20"/>
        </w:rPr>
        <w:t>Select one concrete action to take during the next 30 days.</w:t>
      </w:r>
    </w:p>
    <w:p>
      <w:pPr>
        <w:pStyle w:val="ListBullet"/>
        <w:spacing w:after="60"/>
      </w:pPr>
      <w:r>
        <w:rPr>
          <w:rFonts w:ascii="Inter" w:hAnsi="Inter"/>
          <w:color w:val="111111"/>
          <w:sz w:val="20"/>
        </w:rPr>
        <w:t>Identify what evidence would cause you to revise the decision.</w:t>
      </w:r>
    </w:p>
    <w:p>
      <w:pPr>
        <w:spacing w:before="240" w:after="60"/>
        <w:keepNext/>
      </w:pPr>
      <w:r>
        <w:rPr>
          <w:rFonts w:ascii="DejaVu Serif" w:hAnsi="DejaVu Serif"/>
          <w:b/>
          <w:color w:val="0F2347"/>
          <w:sz w:val="40"/>
        </w:rPr>
        <w:t>6. Paid Workshop: Deliverables, Audience, and Format</w:t>
      </w:r>
    </w:p>
    <w:p>
      <w:pPr>
        <w:spacing w:after="160"/>
      </w:pPr>
      <w:r>
        <w:rPr>
          <w:rFonts w:ascii="Inter" w:hAnsi="Inter"/>
          <w:color w:val="6A7280"/>
          <w:sz w:val="20"/>
        </w:rPr>
        <w:t>The sections that establish value and qualify the right participants.</w:t>
      </w:r>
    </w:p>
    <w:p>
      <w:pPr>
        <w:spacing w:before="160" w:after="80"/>
        <w:keepNext/>
      </w:pPr>
      <w:r>
        <w:rPr>
          <w:rFonts w:ascii="Inter" w:hAnsi="Inter"/>
          <w:b/>
          <w:color w:val="C1440E"/>
          <w:sz w:val="26"/>
        </w:rPr>
        <w:t>What participants leave with</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Leave With More Than a Score</w:t>
            </w:r>
          </w:p>
        </w:tc>
      </w:tr>
    </w:tbl>
    <w:p>
      <w:pPr>
        <w:spacing w:after="20"/>
      </w:pPr>
    </w:p>
    <w:p>
      <w:pPr>
        <w:pStyle w:val="ListBullet"/>
        <w:spacing w:after="60"/>
      </w:pPr>
      <w:r>
        <w:rPr>
          <w:rFonts w:ascii="Inter" w:hAnsi="Inter"/>
          <w:color w:val="111111"/>
          <w:sz w:val="20"/>
        </w:rPr>
        <w:t>A completed 12-statement Capability Position Read</w:t>
      </w:r>
    </w:p>
    <w:p>
      <w:pPr>
        <w:pStyle w:val="ListBullet"/>
        <w:spacing w:after="60"/>
      </w:pPr>
      <w:r>
        <w:rPr>
          <w:rFonts w:ascii="Inter" w:hAnsi="Inter"/>
          <w:color w:val="111111"/>
          <w:sz w:val="20"/>
        </w:rPr>
        <w:t>An initial and evidence-backed second reading</w:t>
      </w:r>
    </w:p>
    <w:p>
      <w:pPr>
        <w:pStyle w:val="ListBullet"/>
        <w:spacing w:after="60"/>
      </w:pPr>
      <w:r>
        <w:rPr>
          <w:rFonts w:ascii="Inter" w:hAnsi="Inter"/>
          <w:color w:val="111111"/>
          <w:sz w:val="20"/>
        </w:rPr>
        <w:t>Corrected Density and Optionality totals</w:t>
      </w:r>
    </w:p>
    <w:p>
      <w:pPr>
        <w:pStyle w:val="ListBullet"/>
        <w:spacing w:after="60"/>
      </w:pPr>
      <w:r>
        <w:rPr>
          <w:rFonts w:ascii="Inter" w:hAnsi="Inter"/>
          <w:color w:val="111111"/>
          <w:sz w:val="20"/>
        </w:rPr>
        <w:t>A provisional Four States placement or boundary reading</w:t>
      </w:r>
    </w:p>
    <w:p>
      <w:pPr>
        <w:pStyle w:val="ListBullet"/>
        <w:spacing w:after="60"/>
      </w:pPr>
      <w:r>
        <w:rPr>
          <w:rFonts w:ascii="Inter" w:hAnsi="Inter"/>
          <w:color w:val="111111"/>
          <w:sz w:val="20"/>
        </w:rPr>
        <w:t>A written Next-Move Decision</w:t>
      </w:r>
    </w:p>
    <w:p>
      <w:pPr>
        <w:pStyle w:val="ListBullet"/>
        <w:spacing w:after="60"/>
      </w:pPr>
      <w:r>
        <w:rPr>
          <w:rFonts w:ascii="Inter" w:hAnsi="Inter"/>
          <w:color w:val="111111"/>
          <w:sz w:val="20"/>
        </w:rPr>
        <w:t>The Capability Formation Field Kit</w:t>
      </w:r>
    </w:p>
    <w:p>
      <w:pPr>
        <w:pStyle w:val="ListBullet"/>
        <w:spacing w:after="60"/>
      </w:pPr>
      <w:r>
        <w:rPr>
          <w:rFonts w:ascii="Inter" w:hAnsi="Inter"/>
          <w:color w:val="111111"/>
          <w:sz w:val="20"/>
        </w:rPr>
        <w:t>A 30-day evidence follow-up</w:t>
      </w:r>
    </w:p>
    <w:p>
      <w:pPr>
        <w:pStyle w:val="ListBullet"/>
        <w:spacing w:after="60"/>
      </w:pPr>
      <w:r>
        <w:rPr>
          <w:rFonts w:ascii="Inter" w:hAnsi="Inter"/>
          <w:color w:val="111111"/>
          <w:sz w:val="20"/>
        </w:rPr>
        <w:t>A 90-day rescore reminder</w:t>
      </w:r>
    </w:p>
    <w:p>
      <w:pPr>
        <w:spacing w:before="160" w:after="80"/>
        <w:keepNext/>
      </w:pPr>
      <w:r>
        <w:rPr>
          <w:rFonts w:ascii="Inter" w:hAnsi="Inter"/>
          <w:b/>
          <w:color w:val="C1440E"/>
          <w:sz w:val="26"/>
        </w:rPr>
        <w:t>Who this workshop is for</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This Workshop Is Designed for You If…</w:t>
            </w:r>
          </w:p>
        </w:tc>
      </w:tr>
    </w:tbl>
    <w:p>
      <w:pPr>
        <w:spacing w:after="20"/>
      </w:pPr>
    </w:p>
    <w:p>
      <w:pPr>
        <w:pStyle w:val="ListBullet"/>
        <w:spacing w:after="60"/>
      </w:pPr>
      <w:r>
        <w:rPr>
          <w:rFonts w:ascii="Inter" w:hAnsi="Inter"/>
          <w:color w:val="111111"/>
          <w:sz w:val="20"/>
        </w:rPr>
        <w:t>You are a mid-career or senior professional who is performing well but is no longer certain that your role is helping you grow.</w:t>
      </w:r>
    </w:p>
    <w:p>
      <w:pPr>
        <w:pStyle w:val="ListBullet"/>
        <w:spacing w:after="60"/>
      </w:pPr>
      <w:r>
        <w:rPr>
          <w:rFonts w:ascii="Inter" w:hAnsi="Inter"/>
          <w:color w:val="111111"/>
          <w:sz w:val="20"/>
        </w:rPr>
        <w:t>You are deciding whether to remain in your current role or begin exploring.</w:t>
      </w:r>
    </w:p>
    <w:p>
      <w:pPr>
        <w:pStyle w:val="ListBullet"/>
        <w:spacing w:after="60"/>
      </w:pPr>
      <w:r>
        <w:rPr>
          <w:rFonts w:ascii="Inter" w:hAnsi="Inter"/>
          <w:color w:val="111111"/>
          <w:sz w:val="20"/>
        </w:rPr>
        <w:t>You are heavily relied upon but unsure whether your value is portable.</w:t>
      </w:r>
    </w:p>
    <w:p>
      <w:pPr>
        <w:pStyle w:val="ListBullet"/>
        <w:spacing w:after="60"/>
      </w:pPr>
      <w:r>
        <w:rPr>
          <w:rFonts w:ascii="Inter" w:hAnsi="Inter"/>
          <w:color w:val="111111"/>
          <w:sz w:val="20"/>
        </w:rPr>
        <w:t>You are carrying greater responsibility without developing meaningfully different capability.</w:t>
      </w:r>
    </w:p>
    <w:p>
      <w:pPr>
        <w:pStyle w:val="ListBullet"/>
        <w:spacing w:after="60"/>
      </w:pPr>
      <w:r>
        <w:rPr>
          <w:rFonts w:ascii="Inter" w:hAnsi="Inter"/>
          <w:color w:val="111111"/>
          <w:sz w:val="20"/>
        </w:rPr>
        <w:t>You are experiencing role drift, reorganization, reduced learning, or repeated work.</w:t>
      </w:r>
    </w:p>
    <w:p>
      <w:pPr>
        <w:pStyle w:val="ListBullet"/>
        <w:spacing w:after="60"/>
      </w:pPr>
      <w:r>
        <w:rPr>
          <w:rFonts w:ascii="Inter" w:hAnsi="Inter"/>
          <w:color w:val="111111"/>
          <w:sz w:val="20"/>
        </w:rPr>
        <w:t>You are considering an internal move but are unsure whether it would solve the underlying problem.</w:t>
      </w:r>
    </w:p>
    <w:p>
      <w:pPr>
        <w:pStyle w:val="ListBullet"/>
        <w:spacing w:after="60"/>
      </w:pPr>
      <w:r>
        <w:rPr>
          <w:rFonts w:ascii="Inter" w:hAnsi="Inter"/>
          <w:color w:val="111111"/>
          <w:sz w:val="20"/>
        </w:rPr>
        <w:t>You do not want to leave a stable position without stronger evidence.</w:t>
      </w:r>
    </w:p>
    <w:p>
      <w:pPr>
        <w:spacing w:before="160" w:after="80"/>
        <w:keepNext/>
      </w:pPr>
      <w:r>
        <w:rPr>
          <w:rFonts w:ascii="Inter" w:hAnsi="Inter"/>
          <w:b/>
          <w:color w:val="C1440E"/>
          <w:sz w:val="26"/>
        </w:rPr>
        <w:t>Who it is not for</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This Is Probably Not the Right Workshop If…</w:t>
            </w:r>
          </w:p>
        </w:tc>
      </w:tr>
    </w:tbl>
    <w:p>
      <w:pPr>
        <w:spacing w:after="20"/>
      </w:pPr>
    </w:p>
    <w:p>
      <w:pPr>
        <w:pStyle w:val="ListBullet"/>
        <w:spacing w:after="60"/>
      </w:pPr>
      <w:r>
        <w:rPr>
          <w:rFonts w:ascii="Inter" w:hAnsi="Inter"/>
          <w:color w:val="111111"/>
          <w:sz w:val="20"/>
        </w:rPr>
        <w:t>You mainly want résumé or LinkedIn-profile revision.</w:t>
      </w:r>
    </w:p>
    <w:p>
      <w:pPr>
        <w:pStyle w:val="ListBullet"/>
        <w:spacing w:after="60"/>
      </w:pPr>
      <w:r>
        <w:rPr>
          <w:rFonts w:ascii="Inter" w:hAnsi="Inter"/>
          <w:color w:val="111111"/>
          <w:sz w:val="20"/>
        </w:rPr>
        <w:t>You need interviewing, job-search, or salary-negotiation tactics.</w:t>
      </w:r>
    </w:p>
    <w:p>
      <w:pPr>
        <w:pStyle w:val="ListBullet"/>
        <w:spacing w:after="60"/>
      </w:pPr>
      <w:r>
        <w:rPr>
          <w:rFonts w:ascii="Inter" w:hAnsi="Inter"/>
          <w:color w:val="111111"/>
          <w:sz w:val="20"/>
        </w:rPr>
        <w:t>You want an instant answer telling you to quit.</w:t>
      </w:r>
    </w:p>
    <w:p>
      <w:pPr>
        <w:pStyle w:val="ListBullet"/>
        <w:spacing w:after="60"/>
      </w:pPr>
      <w:r>
        <w:rPr>
          <w:rFonts w:ascii="Inter" w:hAnsi="Inter"/>
          <w:color w:val="111111"/>
          <w:sz w:val="20"/>
        </w:rPr>
        <w:t>You are seeking legal, financial, immigration, compensation, medical, or mental-health advice.</w:t>
      </w:r>
    </w:p>
    <w:p>
      <w:pPr>
        <w:spacing w:before="160" w:after="80"/>
        <w:keepNext/>
      </w:pPr>
      <w:r>
        <w:rPr>
          <w:rFonts w:ascii="Inter" w:hAnsi="Inter"/>
          <w:b/>
          <w:color w:val="C1440E"/>
          <w:sz w:val="26"/>
        </w:rPr>
        <w:t>Format section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A Two-Hour Live, Guided Career Growth Assessment</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FORMAT DESCRIPTION</w:t>
            </w:r>
          </w:p>
          <w:p>
            <w:pPr>
              <w:spacing w:before="40" w:after="0"/>
            </w:pPr>
            <w:r>
              <w:rPr>
                <w:rFonts w:ascii="Inter" w:hAnsi="Inter"/>
                <w:color w:val="0F2347"/>
                <w:sz w:val="22"/>
              </w:rPr>
              <w:t>This is not a webinar that participants watch passively. You will score, review evidence, correct your responses, interpret your placement, and write a Next-Move Decision during the session. The workshop includes a 105-minute guided Capability Position Read and 15 minutes for Q&amp;A and practical applications.</w:t>
            </w:r>
          </w:p>
        </w:tc>
      </w:tr>
    </w:tbl>
    <w:p>
      <w:pPr>
        <w:spacing w:after="20"/>
      </w:pPr>
    </w:p>
    <w:p>
      <w:pPr>
        <w:spacing w:before="160" w:after="80"/>
        <w:keepNext/>
      </w:pPr>
      <w:r>
        <w:rPr>
          <w:rFonts w:ascii="Inter" w:hAnsi="Inter"/>
          <w:b/>
          <w:color w:val="C1440E"/>
          <w:sz w:val="26"/>
        </w:rPr>
        <w:t>What to bring</w:t>
      </w:r>
    </w:p>
    <w:p>
      <w:pPr>
        <w:pStyle w:val="ListBullet"/>
        <w:spacing w:after="60"/>
      </w:pPr>
      <w:r>
        <w:rPr>
          <w:rFonts w:ascii="Inter" w:hAnsi="Inter"/>
          <w:color w:val="111111"/>
          <w:sz w:val="20"/>
        </w:rPr>
        <w:t>Your current job description, if available</w:t>
      </w:r>
    </w:p>
    <w:p>
      <w:pPr>
        <w:pStyle w:val="ListBullet"/>
        <w:spacing w:after="60"/>
      </w:pPr>
      <w:r>
        <w:rPr>
          <w:rFonts w:ascii="Inter" w:hAnsi="Inter"/>
          <w:color w:val="111111"/>
          <w:sz w:val="20"/>
        </w:rPr>
        <w:t>Examples of work completed during the previous six to twelve months</w:t>
      </w:r>
    </w:p>
    <w:p>
      <w:pPr>
        <w:pStyle w:val="ListBullet"/>
        <w:spacing w:after="60"/>
      </w:pPr>
      <w:r>
        <w:rPr>
          <w:rFonts w:ascii="Inter" w:hAnsi="Inter"/>
          <w:color w:val="111111"/>
          <w:sz w:val="20"/>
        </w:rPr>
        <w:t>Decisions you regularly make</w:t>
      </w:r>
    </w:p>
    <w:p>
      <w:pPr>
        <w:pStyle w:val="ListBullet"/>
        <w:spacing w:after="60"/>
      </w:pPr>
      <w:r>
        <w:rPr>
          <w:rFonts w:ascii="Inter" w:hAnsi="Inter"/>
          <w:color w:val="111111"/>
          <w:sz w:val="20"/>
        </w:rPr>
        <w:t>Skills and judgment you repeatedly use</w:t>
      </w:r>
    </w:p>
    <w:p>
      <w:pPr>
        <w:pStyle w:val="ListBullet"/>
        <w:spacing w:after="60"/>
      </w:pPr>
      <w:r>
        <w:rPr>
          <w:rFonts w:ascii="Inter" w:hAnsi="Inter"/>
          <w:color w:val="111111"/>
          <w:sz w:val="20"/>
        </w:rPr>
        <w:t>Evidence of who relies on you and why</w:t>
      </w:r>
    </w:p>
    <w:p>
      <w:pPr>
        <w:pStyle w:val="ListBullet"/>
        <w:spacing w:after="60"/>
      </w:pPr>
      <w:r>
        <w:rPr>
          <w:rFonts w:ascii="Inter" w:hAnsi="Inter"/>
          <w:color w:val="111111"/>
          <w:sz w:val="20"/>
        </w:rPr>
        <w:t>Examples of opportunities you could credibly pursue outside the current role</w:t>
      </w:r>
    </w:p>
    <w:p>
      <w:pPr>
        <w:spacing w:after="120" w:line="259" w:lineRule="auto"/>
      </w:pPr>
      <w:r>
        <w:rPr>
          <w:rFonts w:ascii="Inter" w:hAnsi="Inter"/>
          <w:color w:val="111111"/>
          <w:sz w:val="20"/>
        </w:rPr>
        <w:t>Participants do not need to disclose confidential employer information.</w:t>
      </w:r>
    </w:p>
    <w:p>
      <w:pPr>
        <w:spacing w:before="160" w:after="80"/>
        <w:keepNext/>
      </w:pPr>
      <w:r>
        <w:rPr>
          <w:rFonts w:ascii="Inter" w:hAnsi="Inter"/>
          <w:b/>
          <w:color w:val="C1440E"/>
          <w:sz w:val="26"/>
        </w:rPr>
        <w:t>105-minute guided core + 15-minute Q&amp;A</w:t>
      </w:r>
    </w:p>
    <w:tbl>
      <w:tblPr>
        <w:tblW w:type="auto" w:w="0"/>
        <w:jc w:val="center"/>
        <w:tblLayout w:type="fixed"/>
        <w:tblLook w:firstColumn="1" w:firstRow="1" w:lastColumn="0" w:lastRow="0" w:noHBand="0" w:noVBand="1" w:val="04A0"/>
      </w:tblPr>
      <w:tblGrid>
        <w:gridCol w:w="1872"/>
        <w:gridCol w:w="7920"/>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Minutes</w:t>
            </w:r>
          </w:p>
        </w:tc>
        <w:tc>
          <w:tcPr>
            <w:tcW w:type="dxa" w:w="5083"/>
            <w:shd w:fill="0F2347"/>
            <w:tcMar>
              <w:top w:w="100" w:type="dxa"/>
              <w:start w:w="120" w:type="dxa"/>
              <w:bottom w:w="100" w:type="dxa"/>
              <w:end w:w="120" w:type="dxa"/>
            </w:tcMar>
          </w:tcPr>
          <w:p>
            <w:r>
              <w:rPr>
                <w:rFonts w:ascii="Inter" w:hAnsi="Inter"/>
                <w:b/>
                <w:color w:val="FFFFFF"/>
                <w:sz w:val="18"/>
              </w:rPr>
              <w:t>Segment</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0-8</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Opening, boundary, story, vantage, and reframe</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8-14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Density, Optionality, and brief AI application</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14-24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Full initial read and totals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24-31</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Safety, matrix, first placement, and confidence</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31-33</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Release Part B</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33-48</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Evidence protocol and three misreadings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48-64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Full evidence-backed reread</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64-71</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Sensitivity check and corrected placement</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71-77</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What moved and what calibration means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77-84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State costs and personal cost reflection</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84-88</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Move categories and decision setup</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88-96</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Protected silent writing</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96-100</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Permissioned voluntary reads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100-105</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Field Kit, follow-through, and close</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105-120</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Q&amp;A and optional applications</w:t>
            </w:r>
          </w:p>
        </w:tc>
      </w:tr>
    </w:tbl>
    <w:p>
      <w:pPr>
        <w:spacing w:after="20"/>
      </w:pPr>
    </w:p>
    <w:p>
      <w:pPr>
        <w:spacing w:before="240" w:after="60"/>
        <w:keepNext/>
      </w:pPr>
      <w:r>
        <w:rPr>
          <w:rFonts w:ascii="DejaVu Serif" w:hAnsi="DejaVu Serif"/>
          <w:b/>
          <w:color w:val="0F2347"/>
          <w:sz w:val="40"/>
        </w:rPr>
        <w:t>7. Paid Workshop: Instructor, Price, and FAQ</w:t>
      </w:r>
    </w:p>
    <w:p>
      <w:pPr>
        <w:spacing w:after="160"/>
      </w:pPr>
      <w:r>
        <w:rPr>
          <w:rFonts w:ascii="Inter" w:hAnsi="Inter"/>
          <w:color w:val="6A7280"/>
          <w:sz w:val="20"/>
        </w:rPr>
        <w:t>The credibility and conversion sections for the Maven page.</w:t>
      </w:r>
    </w:p>
    <w:p>
      <w:pPr>
        <w:spacing w:before="160" w:after="80"/>
        <w:keepNext/>
      </w:pPr>
      <w:r>
        <w:rPr>
          <w:rFonts w:ascii="Inter" w:hAnsi="Inter"/>
          <w:b/>
          <w:color w:val="C1440E"/>
          <w:sz w:val="26"/>
        </w:rPr>
        <w:t>Instructor section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Learn Directly From Temidayo Afonja</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INSTRUCTOR BIOGRAPHY</w:t>
            </w:r>
          </w:p>
          <w:p>
            <w:pPr>
              <w:spacing w:before="40" w:after="0"/>
            </w:pPr>
            <w:r>
              <w:rPr>
                <w:rFonts w:ascii="Inter" w:hAnsi="Inter"/>
                <w:color w:val="0F2347"/>
                <w:sz w:val="22"/>
              </w:rPr>
              <w:t>Temidayo Afonja is an organizational capability strategist, founder of The Density Group, and author of The Capability Audit.</w:t>
              <w:br/>
              <w:br/>
              <w:t>Across 17 years in enterprise people strategy, she has worked in global consulting and enterprise leadership environments including PwC, Deloitte, EY, and Airship. Her work examines a question most career systems overlook: whether the work people perform is continuing to build the skills, judgment, relationships, and options they will need when conditions change.</w:t>
              <w:br/>
              <w:br/>
              <w:t>Temidayo created the Capability Formation framework and the Four States model to help professionals and organizations evaluate capability growth more precisely. Her approach combines organizational diagnosis, enterprise experience, and evidence-based career reflection.</w:t>
            </w:r>
          </w:p>
        </w:tc>
      </w:tr>
    </w:tbl>
    <w:p>
      <w:pPr>
        <w:spacing w:after="20"/>
      </w:pPr>
    </w:p>
    <w:p>
      <w:pPr>
        <w:pStyle w:val="ListBullet"/>
        <w:spacing w:after="60"/>
      </w:pPr>
      <w:r>
        <w:rPr>
          <w:rFonts w:ascii="Inter" w:hAnsi="Inter"/>
          <w:color w:val="111111"/>
          <w:sz w:val="20"/>
        </w:rPr>
        <w:t>Founder, The Density Group</w:t>
      </w:r>
    </w:p>
    <w:p>
      <w:pPr>
        <w:pStyle w:val="ListBullet"/>
        <w:spacing w:after="60"/>
      </w:pPr>
      <w:r>
        <w:rPr>
          <w:rFonts w:ascii="Inter" w:hAnsi="Inter"/>
          <w:color w:val="111111"/>
          <w:sz w:val="20"/>
        </w:rPr>
        <w:t>Author, The Capability Audit</w:t>
      </w:r>
    </w:p>
    <w:p>
      <w:pPr>
        <w:pStyle w:val="ListBullet"/>
        <w:spacing w:after="60"/>
      </w:pPr>
      <w:r>
        <w:rPr>
          <w:rFonts w:ascii="Inter" w:hAnsi="Inter"/>
          <w:color w:val="111111"/>
          <w:sz w:val="20"/>
        </w:rPr>
        <w:t>Creator, Capability Formation and the Four States framework</w:t>
      </w:r>
    </w:p>
    <w:p>
      <w:pPr>
        <w:pStyle w:val="ListBullet"/>
        <w:spacing w:after="60"/>
      </w:pPr>
      <w:r>
        <w:rPr>
          <w:rFonts w:ascii="Inter" w:hAnsi="Inter"/>
          <w:color w:val="111111"/>
          <w:sz w:val="20"/>
        </w:rPr>
        <w:t>17 years in enterprise people strategy</w:t>
      </w:r>
    </w:p>
    <w:p>
      <w:pPr>
        <w:pStyle w:val="ListBullet"/>
        <w:spacing w:after="60"/>
      </w:pPr>
      <w:r>
        <w:rPr>
          <w:rFonts w:ascii="Inter" w:hAnsi="Inter"/>
          <w:color w:val="111111"/>
          <w:sz w:val="20"/>
        </w:rPr>
        <w:t>Former Big Four and enterprise people leader</w:t>
      </w:r>
    </w:p>
    <w:p>
      <w:pPr>
        <w:spacing w:before="160" w:after="80"/>
        <w:keepNext/>
      </w:pPr>
      <w:r>
        <w:rPr>
          <w:rFonts w:ascii="Inter" w:hAnsi="Inter"/>
          <w:b/>
          <w:color w:val="C1440E"/>
          <w:sz w:val="26"/>
        </w:rPr>
        <w:t>Price section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PRICE</w:t>
            </w:r>
          </w:p>
          <w:p>
            <w:pPr>
              <w:spacing w:before="40" w:after="0"/>
            </w:pPr>
            <w:r>
              <w:rPr>
                <w:rFonts w:ascii="Inter" w:hAnsi="Inter"/>
                <w:color w:val="0F2347"/>
                <w:sz w:val="22"/>
              </w:rPr>
              <w:t>$249</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PRICE LANGUAGE</w:t>
            </w:r>
          </w:p>
          <w:p>
            <w:pPr>
              <w:spacing w:before="40" w:after="0"/>
            </w:pPr>
            <w:r>
              <w:rPr>
                <w:rFonts w:ascii="Inter" w:hAnsi="Inter"/>
                <w:color w:val="0F2347"/>
                <w:sz w:val="22"/>
              </w:rPr>
              <w:t>Public launch price for the first two paid deliveries. Limited to 15 participants for the first delivery.</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Do not call this a founding discount. Do not display a struck-through price. Do not use a coupon code. The later $349 price is introduced only after two clean deliveries and the agreed evidence thresholds are met.</w:t>
            </w:r>
          </w:p>
        </w:tc>
      </w:tr>
    </w:tbl>
    <w:p>
      <w:pPr>
        <w:spacing w:after="20"/>
      </w:pPr>
    </w:p>
    <w:p>
      <w:pPr>
        <w:spacing w:before="160" w:after="80"/>
        <w:keepNext/>
      </w:pPr>
      <w:r>
        <w:rPr>
          <w:rFonts w:ascii="Inter" w:hAnsi="Inter"/>
          <w:b/>
          <w:color w:val="C1440E"/>
          <w:sz w:val="26"/>
        </w:rPr>
        <w:t>Short FAQ - four questions only</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IS THIS WORKSHOP ONLY FOR PEOPLE WHO ARE READY TO QUIT?</w:t>
            </w:r>
          </w:p>
          <w:p>
            <w:pPr>
              <w:spacing w:before="40" w:after="0"/>
            </w:pPr>
            <w:r>
              <w:rPr>
                <w:rFonts w:ascii="Inter" w:hAnsi="Inter"/>
                <w:color w:val="0F2347"/>
                <w:sz w:val="22"/>
              </w:rPr>
              <w:t>No. It is designed for professionals who are uncertain. Your evidence may support remaining and deepening, reshaping the role, rebuilding your options, preparing for exit, or seeking an external perspective.</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WILL TEMIDAYO TELL ME WHETHER I SHOULD LEAVE MY JOB?</w:t>
            </w:r>
          </w:p>
          <w:p>
            <w:pPr>
              <w:spacing w:before="40" w:after="0"/>
            </w:pPr>
            <w:r>
              <w:rPr>
                <w:rFonts w:ascii="Inter" w:hAnsi="Inter"/>
                <w:color w:val="0F2347"/>
                <w:sz w:val="22"/>
              </w:rPr>
              <w:t>No. You will complete a structured assessment and use evidence from your own work to identify the category of move your evidence supports testing. The purpose is to improve the quality of your judgment, not replace it.</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IS THIS A PERSONALITY OR CAREER-INTEREST TEST?</w:t>
            </w:r>
          </w:p>
          <w:p>
            <w:pPr>
              <w:spacing w:before="40" w:after="0"/>
            </w:pPr>
            <w:r>
              <w:rPr>
                <w:rFonts w:ascii="Inter" w:hAnsi="Inter"/>
                <w:color w:val="0F2347"/>
                <w:sz w:val="22"/>
              </w:rPr>
              <w:t>No. The Capability Position Read evaluates what your current work is building and how your role affects capability formation and optionality. It does not classify your personality or ideal profession.</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DO I HAVE TO SHARE MY SCORE OR EMPLOYER INFORMATION?</w:t>
            </w:r>
          </w:p>
          <w:p>
            <w:pPr>
              <w:spacing w:before="40" w:after="0"/>
            </w:pPr>
            <w:r>
              <w:rPr>
                <w:rFonts w:ascii="Inter" w:hAnsi="Inter"/>
                <w:color w:val="0F2347"/>
                <w:sz w:val="22"/>
              </w:rPr>
              <w:t>No. Your scores and workbook responses remain private. You are not required to share your state, employer name, or confidential workplace details. Only anonymous room-level counts and voluntarily shared, permissioned language are collected.</w:t>
            </w:r>
          </w:p>
        </w:tc>
      </w:tr>
    </w:tbl>
    <w:p>
      <w:pPr>
        <w:spacing w:after="20"/>
      </w:pPr>
    </w:p>
    <w:p>
      <w:pPr>
        <w:spacing w:before="160" w:after="80"/>
        <w:keepNext/>
      </w:pPr>
      <w:r>
        <w:rPr>
          <w:rFonts w:ascii="Inter" w:hAnsi="Inter"/>
          <w:b/>
          <w:color w:val="C1440E"/>
          <w:sz w:val="26"/>
        </w:rPr>
        <w:t>Footer disclaimer</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PLACE NEAR THE FAQ OR FINAL ENROLLMENT SECTION</w:t>
            </w:r>
          </w:p>
          <w:p>
            <w:pPr>
              <w:spacing w:before="40" w:after="0"/>
            </w:pPr>
            <w:r>
              <w:rPr>
                <w:rFonts w:ascii="Inter" w:hAnsi="Inter"/>
                <w:color w:val="0F2347"/>
                <w:sz w:val="22"/>
              </w:rPr>
              <w:t>This workshop is provided for educational and professional-development purposes. It does not provide legal, tax, financial, compensation, immigration, medical, mental-health, or individualized employment advice. It is not a job-placement service and does not guarantee employment, promotion, compensation, or other career outcomes.</w:t>
            </w:r>
          </w:p>
        </w:tc>
      </w:tr>
    </w:tbl>
    <w:p>
      <w:pPr>
        <w:spacing w:after="20"/>
      </w:pPr>
    </w:p>
    <w:p>
      <w:pPr>
        <w:spacing w:before="240" w:after="60"/>
        <w:keepNext/>
      </w:pPr>
      <w:r>
        <w:rPr>
          <w:rFonts w:ascii="DejaVu Serif" w:hAnsi="DejaVu Serif"/>
          <w:b/>
          <w:color w:val="0F2347"/>
          <w:sz w:val="40"/>
        </w:rPr>
        <w:t>8. Maven Syllabus and Student Experience</w:t>
      </w:r>
    </w:p>
    <w:p>
      <w:pPr>
        <w:spacing w:after="160"/>
      </w:pPr>
      <w:r>
        <w:rPr>
          <w:rFonts w:ascii="Inter" w:hAnsi="Inter"/>
          <w:color w:val="6A7280"/>
          <w:sz w:val="20"/>
        </w:rPr>
        <w:t>Use after you enter the cohort dates and Maven unlocks the syllabus builder.</w:t>
      </w:r>
    </w:p>
    <w:p>
      <w:pPr>
        <w:spacing w:before="160" w:after="80"/>
        <w:keepNext/>
      </w:pPr>
      <w:r>
        <w:rPr>
          <w:rFonts w:ascii="Inter" w:hAnsi="Inter"/>
          <w:b/>
          <w:color w:val="C1440E"/>
          <w:sz w:val="26"/>
        </w:rPr>
        <w:t>Pre-session communication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WELCOME EMAIL PURPOSE</w:t>
            </w:r>
          </w:p>
          <w:p>
            <w:pPr>
              <w:spacing w:before="40" w:after="0"/>
            </w:pPr>
            <w:r>
              <w:rPr>
                <w:rFonts w:ascii="Inter" w:hAnsi="Inter"/>
                <w:color w:val="0F2347"/>
                <w:sz w:val="22"/>
              </w:rPr>
              <w:t>Send this before the paid workshop so participants arrive technically ready and understand the privacy boundaries before live scoring begins.</w:t>
            </w:r>
          </w:p>
        </w:tc>
      </w:tr>
    </w:tbl>
    <w:p>
      <w:pPr>
        <w:spacing w:after="20"/>
      </w:pPr>
    </w:p>
    <w:tbl>
      <w:tblPr>
        <w:tblW w:type="auto" w:w="0"/>
        <w:jc w:val="center"/>
        <w:tblLayout w:type="fixed"/>
        <w:tblLook w:firstColumn="1" w:firstRow="1" w:lastColumn="0" w:lastRow="0" w:noHBand="0" w:noVBand="1" w:val="04A0"/>
      </w:tblPr>
      <w:tblGrid>
        <w:gridCol w:w="2736"/>
        <w:gridCol w:w="7056"/>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Email point</w:t>
            </w:r>
          </w:p>
        </w:tc>
        <w:tc>
          <w:tcPr>
            <w:tcW w:type="dxa" w:w="5083"/>
            <w:shd w:fill="0F2347"/>
            <w:tcMar>
              <w:top w:w="100" w:type="dxa"/>
              <w:start w:w="120" w:type="dxa"/>
              <w:bottom w:w="100" w:type="dxa"/>
              <w:end w:w="120" w:type="dxa"/>
            </w:tcMar>
          </w:tcPr>
          <w:p>
            <w:r>
              <w:rPr>
                <w:rFonts w:ascii="Inter" w:hAnsi="Inter"/>
                <w:b/>
                <w:color w:val="FFFFFF"/>
                <w:sz w:val="18"/>
              </w:rPr>
              <w:t>Include this message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Session length</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The session lasts two hours.</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Guided work</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The first 105 minutes are guided Capability Position Read work.</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Device</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Join from a laptop or desktop rather than a phone.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Workbook viewer</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Adobe Acrobat Reader is recommended for the fillable workbook.</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Before joining</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Open Part A before the session begins.</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Live release</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Part B will be released live after the first placement is complete.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Privacy</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Scores and workbook responses remain private.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Recording boundary</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Teaching may be recorded. Scoring, writing, participant discussion, and voluntary reads are not recorded.</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COPY-READY SHORT VERSION</w:t>
            </w:r>
          </w:p>
          <w:p>
            <w:pPr>
              <w:spacing w:before="40" w:after="0"/>
            </w:pPr>
            <w:r>
              <w:rPr>
                <w:rFonts w:ascii="Inter" w:hAnsi="Inter"/>
                <w:color w:val="0F2347"/>
                <w:sz w:val="22"/>
              </w:rPr>
              <w:t>This workshop lasts two hours. The first 105 minutes are guided work through the Capability Position Read, followed by 15 minutes for Q&amp;A and applications. Please join from a laptop or desktop, open Part A before we begin, and use Adobe Acrobat Reader if you want the fillable workbook fields to calculate reliably. Part B will be released live after the first placement. Your scores and workbook responses remain private. Teaching may be recorded; scoring, writing, participant discussion, and voluntary reads are not recorded.</w:t>
            </w:r>
          </w:p>
        </w:tc>
      </w:tr>
    </w:tbl>
    <w:p>
      <w:pPr>
        <w:spacing w:after="20"/>
      </w:pPr>
    </w:p>
    <w:p>
      <w:pPr>
        <w:spacing w:before="160" w:after="80"/>
        <w:keepNext/>
      </w:pPr>
      <w:r>
        <w:rPr>
          <w:rFonts w:ascii="Inter" w:hAnsi="Inter"/>
          <w:b/>
          <w:color w:val="C1440E"/>
          <w:sz w:val="26"/>
        </w:rPr>
        <w:t>Module 1: Prepare Your Evidence</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Lesson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What to Bring to the Capability Position Read</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Resource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Evidence Preparation Guide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Estimated time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10 minutes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Participant instruction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Bring evidence from your recent work. Do not include confidential employer information.</w:t>
            </w:r>
          </w:p>
        </w:tc>
      </w:tr>
    </w:tbl>
    <w:p>
      <w:pPr>
        <w:spacing w:after="20"/>
      </w:pPr>
    </w:p>
    <w:p>
      <w:pPr>
        <w:spacing w:before="160" w:after="80"/>
        <w:keepNext/>
      </w:pPr>
      <w:r>
        <w:rPr>
          <w:rFonts w:ascii="Inter" w:hAnsi="Inter"/>
          <w:b/>
          <w:color w:val="C1440E"/>
          <w:sz w:val="26"/>
        </w:rPr>
        <w:t>Module 2: Complete the Live Position Read</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Live event</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 Whether to Stay or Leave Your Job | A Live Career Growth Assessment</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Two hours live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Core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105-minute guided Capability Position Read</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Q&amp;A</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15 minutes for questions and practical applications</w:t>
            </w:r>
          </w:p>
        </w:tc>
      </w:tr>
    </w:tbl>
    <w:p>
      <w:pPr>
        <w:spacing w:after="20"/>
      </w:pPr>
    </w:p>
    <w:p>
      <w:pPr>
        <w:spacing w:before="160" w:after="80"/>
        <w:keepNext/>
      </w:pPr>
      <w:r>
        <w:rPr>
          <w:rFonts w:ascii="Inter" w:hAnsi="Inter"/>
          <w:b/>
          <w:color w:val="C1440E"/>
          <w:sz w:val="26"/>
        </w:rPr>
        <w:t>Module 3: Act on Your Result</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Lesson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Your 30-Day Next Move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Resource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Next-Move Decision and 30-Day Evidence Log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Follow-up</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90-day rescore reminder</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Included resource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Capability Formation Field Kit</w:t>
            </w:r>
          </w:p>
        </w:tc>
      </w:tr>
    </w:tbl>
    <w:p>
      <w:pPr>
        <w:spacing w:after="20"/>
      </w:pPr>
    </w:p>
    <w:p>
      <w:pPr>
        <w:spacing w:before="160" w:after="80"/>
        <w:keepNext/>
      </w:pPr>
      <w:r>
        <w:rPr>
          <w:rFonts w:ascii="Inter" w:hAnsi="Inter"/>
          <w:b/>
          <w:color w:val="C1440E"/>
          <w:sz w:val="26"/>
        </w:rPr>
        <w:t>Privacy decision</w:t>
      </w:r>
    </w:p>
    <w:p>
      <w:pPr>
        <w:spacing w:after="120" w:line="259" w:lineRule="auto"/>
      </w:pPr>
      <w:r>
        <w:rPr>
          <w:rFonts w:ascii="Inter" w:hAnsi="Inter"/>
          <w:color w:val="111111"/>
          <w:sz w:val="20"/>
        </w:rPr>
        <w:t>Do not require a public Maven project submission. The participant’s scores, state, move category, and named conversations are personal career information. The Next-Move Decision should remain private in the workbook.</w:t>
      </w:r>
    </w:p>
    <w:p>
      <w:pPr>
        <w:spacing w:before="160" w:after="80"/>
        <w:keepNext/>
      </w:pPr>
      <w:r>
        <w:rPr>
          <w:rFonts w:ascii="Inter" w:hAnsi="Inter"/>
          <w:b/>
          <w:color w:val="C1440E"/>
          <w:sz w:val="26"/>
        </w:rPr>
        <w:t>Recording policy</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RECOMMENDED POLICY</w:t>
            </w:r>
          </w:p>
          <w:p>
            <w:pPr>
              <w:spacing w:before="40" w:after="0"/>
            </w:pPr>
            <w:r>
              <w:rPr>
                <w:rFonts w:ascii="Inter" w:hAnsi="Inter"/>
                <w:color w:val="0F2347"/>
                <w:sz w:val="22"/>
              </w:rPr>
              <w:t>The instructional portions of the workshop may be available to enrolled participants for 30 days. Live scoring, participant discussion, voluntary reads, and silent working time are not recorded.</w:t>
            </w:r>
          </w:p>
        </w:tc>
      </w:tr>
    </w:tbl>
    <w:p>
      <w:pPr>
        <w:spacing w:after="20"/>
      </w:pPr>
    </w:p>
    <w:p>
      <w:pPr>
        <w:spacing w:before="240" w:after="60"/>
        <w:keepNext/>
      </w:pPr>
      <w:r>
        <w:rPr>
          <w:rFonts w:ascii="DejaVu Serif" w:hAnsi="DejaVu Serif"/>
          <w:b/>
          <w:color w:val="0F2347"/>
          <w:sz w:val="40"/>
        </w:rPr>
        <w:t>9. Final Publishing Checklist</w:t>
      </w:r>
    </w:p>
    <w:p>
      <w:pPr>
        <w:spacing w:after="160"/>
      </w:pPr>
      <w:r>
        <w:rPr>
          <w:rFonts w:ascii="Inter" w:hAnsi="Inter"/>
          <w:color w:val="6A7280"/>
          <w:sz w:val="20"/>
        </w:rPr>
        <w:t>Use this immediately before publishing either Maven page.</w:t>
      </w:r>
    </w:p>
    <w:p>
      <w:pPr>
        <w:spacing w:before="160" w:after="80"/>
        <w:keepNext/>
      </w:pPr>
      <w:r>
        <w:rPr>
          <w:rFonts w:ascii="Inter" w:hAnsi="Inter"/>
          <w:b/>
          <w:color w:val="C1440E"/>
          <w:sz w:val="26"/>
        </w:rPr>
        <w:t>Free Lightning Lesson</w:t>
      </w:r>
    </w:p>
    <w:p>
      <w:pPr>
        <w:pStyle w:val="ListBullet"/>
        <w:spacing w:after="60"/>
      </w:pPr>
      <w:r>
        <w:rPr>
          <w:rFonts w:ascii="Inter" w:hAnsi="Inter"/>
          <w:color w:val="111111"/>
          <w:sz w:val="20"/>
        </w:rPr>
        <w:t>Title is exactly “How to Tell If Your Career Is Stalling.”</w:t>
      </w:r>
    </w:p>
    <w:p>
      <w:pPr>
        <w:pStyle w:val="ListBullet"/>
        <w:spacing w:after="60"/>
      </w:pPr>
      <w:r>
        <w:rPr>
          <w:rFonts w:ascii="Inter" w:hAnsi="Inter"/>
          <w:color w:val="111111"/>
          <w:sz w:val="20"/>
        </w:rPr>
        <w:t>Duration is 45 minutes.</w:t>
      </w:r>
    </w:p>
    <w:p>
      <w:pPr>
        <w:pStyle w:val="ListBullet"/>
        <w:spacing w:after="60"/>
      </w:pPr>
      <w:r>
        <w:rPr>
          <w:rFonts w:ascii="Inter" w:hAnsi="Inter"/>
          <w:color w:val="111111"/>
          <w:sz w:val="20"/>
        </w:rPr>
        <w:t>The Maven-generated image is used instead of a custom upload.</w:t>
      </w:r>
    </w:p>
    <w:p>
      <w:pPr>
        <w:pStyle w:val="ListBullet"/>
        <w:spacing w:after="60"/>
      </w:pPr>
      <w:r>
        <w:rPr>
          <w:rFonts w:ascii="Inter" w:hAnsi="Inter"/>
          <w:color w:val="111111"/>
          <w:sz w:val="20"/>
        </w:rPr>
        <w:t>Your expert-profile headshot and credential line are current.</w:t>
      </w:r>
    </w:p>
    <w:p>
      <w:pPr>
        <w:pStyle w:val="ListBullet"/>
        <w:spacing w:after="60"/>
      </w:pPr>
      <w:r>
        <w:rPr>
          <w:rFonts w:ascii="Inter" w:hAnsi="Inter"/>
          <w:color w:val="111111"/>
          <w:sz w:val="20"/>
        </w:rPr>
        <w:t>All three learning outcomes are complete.</w:t>
      </w:r>
    </w:p>
    <w:p>
      <w:pPr>
        <w:pStyle w:val="ListBullet"/>
        <w:spacing w:after="60"/>
      </w:pPr>
      <w:r>
        <w:rPr>
          <w:rFonts w:ascii="Inter" w:hAnsi="Inter"/>
          <w:color w:val="111111"/>
          <w:sz w:val="20"/>
        </w:rPr>
        <w:t>The “Why this topic matters” field is pasted in full.</w:t>
      </w:r>
    </w:p>
    <w:p>
      <w:pPr>
        <w:pStyle w:val="ListBullet"/>
        <w:spacing w:after="60"/>
      </w:pPr>
      <w:r>
        <w:rPr>
          <w:rFonts w:ascii="Inter" w:hAnsi="Inter"/>
          <w:color w:val="111111"/>
          <w:sz w:val="20"/>
        </w:rPr>
        <w:t>The paid workshop is connected as the related product.</w:t>
      </w:r>
    </w:p>
    <w:p>
      <w:pPr>
        <w:pStyle w:val="ListBullet"/>
        <w:spacing w:after="60"/>
      </w:pPr>
      <w:r>
        <w:rPr>
          <w:rFonts w:ascii="Inter" w:hAnsi="Inter"/>
          <w:color w:val="111111"/>
          <w:sz w:val="20"/>
        </w:rPr>
        <w:t>No 12-statement instrument, state placement, or Next-Move Decision is promised in the free lesson.</w:t>
      </w:r>
    </w:p>
    <w:p>
      <w:pPr>
        <w:spacing w:before="160" w:after="80"/>
        <w:keepNext/>
      </w:pPr>
      <w:r>
        <w:rPr>
          <w:rFonts w:ascii="Inter" w:hAnsi="Inter"/>
          <w:b/>
          <w:color w:val="C1440E"/>
          <w:sz w:val="26"/>
        </w:rPr>
        <w:t>Paid Workshop</w:t>
      </w:r>
    </w:p>
    <w:p>
      <w:pPr>
        <w:pStyle w:val="ListBullet"/>
        <w:spacing w:after="60"/>
      </w:pPr>
      <w:r>
        <w:rPr>
          <w:rFonts w:ascii="Inter" w:hAnsi="Inter"/>
          <w:color w:val="111111"/>
          <w:sz w:val="20"/>
        </w:rPr>
        <w:t>Title is exactly “Decide Whether to Stay or Leave Your Job | A Live Career Growth Assessment.”</w:t>
      </w:r>
    </w:p>
    <w:p>
      <w:pPr>
        <w:pStyle w:val="ListBullet"/>
        <w:spacing w:after="60"/>
      </w:pPr>
      <w:r>
        <w:rPr>
          <w:rFonts w:ascii="Inter" w:hAnsi="Inter"/>
          <w:color w:val="111111"/>
          <w:sz w:val="20"/>
        </w:rPr>
        <w:t>URL slug remains “decide-whether-to-stay-or-leave-your-job.”</w:t>
      </w:r>
    </w:p>
    <w:p>
      <w:pPr>
        <w:pStyle w:val="ListBullet"/>
        <w:spacing w:after="60"/>
      </w:pPr>
      <w:r>
        <w:rPr>
          <w:rFonts w:ascii="Inter" w:hAnsi="Inter"/>
          <w:color w:val="111111"/>
          <w:sz w:val="20"/>
        </w:rPr>
        <w:t>Public format says two hours live, including a 105-minute guided Capability Position Read and 15 minutes for Q&amp;A and applications.</w:t>
      </w:r>
    </w:p>
    <w:p>
      <w:pPr>
        <w:pStyle w:val="ListBullet"/>
        <w:spacing w:after="60"/>
      </w:pPr>
      <w:r>
        <w:rPr>
          <w:rFonts w:ascii="Inter" w:hAnsi="Inter"/>
          <w:color w:val="111111"/>
          <w:sz w:val="20"/>
        </w:rPr>
        <w:t>Price is $249 and is not described as a founding discount.</w:t>
      </w:r>
    </w:p>
    <w:p>
      <w:pPr>
        <w:pStyle w:val="ListBullet"/>
        <w:spacing w:after="60"/>
      </w:pPr>
      <w:r>
        <w:rPr>
          <w:rFonts w:ascii="Inter" w:hAnsi="Inter"/>
          <w:color w:val="111111"/>
          <w:sz w:val="20"/>
        </w:rPr>
        <w:t>The workshop hero is a minimal portrait-led image, not the crowded full-title poster.</w:t>
      </w:r>
    </w:p>
    <w:p>
      <w:pPr>
        <w:pStyle w:val="ListBullet"/>
        <w:spacing w:after="60"/>
      </w:pPr>
      <w:r>
        <w:rPr>
          <w:rFonts w:ascii="Inter" w:hAnsi="Inter"/>
          <w:color w:val="111111"/>
          <w:sz w:val="20"/>
        </w:rPr>
        <w:t>The Capability Position Read is named as the method.</w:t>
      </w:r>
    </w:p>
    <w:p>
      <w:pPr>
        <w:pStyle w:val="ListBullet"/>
        <w:spacing w:after="60"/>
      </w:pPr>
      <w:r>
        <w:rPr>
          <w:rFonts w:ascii="Inter" w:hAnsi="Inter"/>
          <w:color w:val="111111"/>
          <w:sz w:val="20"/>
        </w:rPr>
        <w:t>The four-outcome structure is visible.</w:t>
      </w:r>
    </w:p>
    <w:p>
      <w:pPr>
        <w:pStyle w:val="ListBullet"/>
        <w:spacing w:after="60"/>
      </w:pPr>
      <w:r>
        <w:rPr>
          <w:rFonts w:ascii="Inter" w:hAnsi="Inter"/>
          <w:color w:val="111111"/>
          <w:sz w:val="20"/>
        </w:rPr>
        <w:t>Deliverables include the full two-pass read, provisional placement, Next-Move Decision, Field Kit, 30-day follow-up, and 90-day rescore.</w:t>
      </w:r>
    </w:p>
    <w:p>
      <w:pPr>
        <w:pStyle w:val="ListBullet"/>
        <w:spacing w:after="60"/>
      </w:pPr>
      <w:r>
        <w:rPr>
          <w:rFonts w:ascii="Inter" w:hAnsi="Inter"/>
          <w:color w:val="111111"/>
          <w:sz w:val="20"/>
        </w:rPr>
        <w:t>The FAQ contains only four essential questions.</w:t>
      </w:r>
    </w:p>
    <w:p>
      <w:pPr>
        <w:pStyle w:val="ListBullet"/>
        <w:spacing w:after="60"/>
      </w:pPr>
      <w:r>
        <w:rPr>
          <w:rFonts w:ascii="Inter" w:hAnsi="Inter"/>
          <w:color w:val="111111"/>
          <w:sz w:val="20"/>
        </w:rPr>
        <w:t>The disclaimer is present.</w:t>
      </w:r>
    </w:p>
    <w:p>
      <w:pPr>
        <w:pStyle w:val="ListBullet"/>
        <w:spacing w:after="60"/>
      </w:pPr>
      <w:r>
        <w:rPr>
          <w:rFonts w:ascii="Inter" w:hAnsi="Inter"/>
          <w:color w:val="111111"/>
          <w:sz w:val="20"/>
        </w:rPr>
        <w:t>The deck, workbook, and Field Kit all display Capability Formation Instrument Version 1.1 before delivery.</w:t>
      </w:r>
    </w:p>
    <w:p>
      <w:pPr>
        <w:pStyle w:val="ListBullet"/>
        <w:spacing w:after="60"/>
      </w:pPr>
      <w:r>
        <w:rPr>
          <w:rFonts w:ascii="Inter" w:hAnsi="Inter"/>
          <w:color w:val="111111"/>
          <w:sz w:val="20"/>
        </w:rPr>
        <w:t>The pre-session welcome email explains the two-hour length, 105-minute guided work block, laptop recommendation, Acrobat Reader recommendation, Part A/Part B sequence, privacy boundary, and recording boundary.</w:t>
      </w:r>
    </w:p>
    <w:p>
      <w:pPr>
        <w:spacing w:before="160" w:after="80"/>
        <w:keepNext/>
      </w:pPr>
      <w:r>
        <w:rPr>
          <w:rFonts w:ascii="Inter" w:hAnsi="Inter"/>
          <w:b/>
          <w:color w:val="C1440E"/>
          <w:sz w:val="26"/>
        </w:rPr>
        <w:t>Canonical distinction between the two offers</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Free lesson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Recognition: notice three signs that your career may be stalling.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Paid workshop</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Assessment and decision: complete the full evidence-backed Capability Position Read and write the category of move your evidence supports testing.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Progression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Recognition → Assessment → Decision</w:t>
            </w:r>
          </w:p>
        </w:tc>
      </w:tr>
    </w:tbl>
    <w:p>
      <w:pPr>
        <w:spacing w:after="20"/>
      </w:pPr>
    </w:p>
    <w:p>
      <w:pPr>
        <w:spacing w:before="360"/>
        <w:jc w:val="center"/>
      </w:pPr>
      <w:r>
        <w:rPr>
          <w:rFonts w:ascii="Inter" w:hAnsi="Inter"/>
          <w:b/>
          <w:color w:val="C1440E"/>
          <w:sz w:val="20"/>
        </w:rPr>
        <w:t>This document is the implementation source of truth for the two Maven offers.</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Inter" w:hAnsi="Inter"/>
        <w:color w:val="6A7280"/>
        <w:sz w:val="16"/>
      </w:rPr>
      <w:t>Capability Formation  |  temidayoafonja.com</w:t>
    </w:r>
    <w:r>
      <w:t xml:space="preserve">                                                        </w:t>
    </w:r>
    <w:r>
      <w:rPr>
        <w:rFonts w:ascii="Inter" w:hAnsi="Inter"/>
        <w:color w:val="6A728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Inter" w:hAnsi="Inter"/>
        <w:b/>
        <w:color w:val="C9A84C"/>
        <w:sz w:val="16"/>
      </w:rPr>
      <w:t>MAVEN OFFER MASTER COPY  |  TEMIDAYO AFONJA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erif" w:hAnsi="DejaVu Serif"/>
      <w:b/>
      <w:bCs/>
      <w:color w:val="0F2347"/>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b/>
      <w:bCs/>
      <w:color w:val="C1440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Inter" w:hAnsi="Inter"/>
      <w:b/>
      <w:bCs/>
      <w:color w:val="0F23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erif" w:hAnsi="DejaVu Serif"/>
      <w:b/>
      <w:color w:val="0F234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Maven Offer Naming and Landing Page Master Copy</dc:title>
  <dc:subject>Final copy-ready Maven inputs for Temidayo Afonja</dc:subject>
  <dc:creator>Temidayo Afonja</dc:creator>
  <cp:keywords>Maven, Capability Formation, Lightning Lesson, Capability Position Read</cp:keywords>
  <dc:description>generated by python-docx</dc:description>
  <cp:lastModifiedBy/>
  <cp:revision>1</cp:revision>
  <dcterms:created xsi:type="dcterms:W3CDTF">2013-12-23T23:15:00Z</dcterms:created>
  <dcterms:modified xsi:type="dcterms:W3CDTF">2013-12-23T23:15:00Z</dcterms:modified>
  <cp:category/>
</cp:coreProperties>
</file>