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20"/>
      </w:pPr>
      <w:r>
        <w:rPr>
          <w:b/>
          <w:color w:val="5A6B82"/>
          <w:sz w:val="26"/>
        </w:rPr>
        <w:t>Short 3B, A Better Next Move Does Two Things</w:t>
      </w:r>
    </w:p>
    <w:p>
      <w:r>
        <w:t>A better next move does two things.</w:t>
      </w:r>
    </w:p>
    <w:p>
      <w:r>
        <w:t>It uses something you have already proved, and it requires you to build something genuinely new.</w:t>
      </w:r>
    </w:p>
    <w:p>
      <w:r>
        <w:t>Ask three questions about the role in front of you.</w:t>
      </w:r>
    </w:p>
    <w:p>
      <w:r>
        <w:t>What will it allow me to carry?</w:t>
      </w:r>
    </w:p>
    <w:p>
      <w:r>
        <w:t>What new judgment or responsibility will it force me to develop?</w:t>
      </w:r>
    </w:p>
    <w:p>
      <w:r>
        <w:t>And what will I be able to do after a year that I cannot do now?</w:t>
      </w:r>
    </w:p>
    <w:p>
      <w:r>
        <w:t>Here is why both halves matter. A move that uses nothing you have already developed can impose an unnecessary reset. And a move that repeats the same work at another employer changes the scenery without changing your position.</w:t>
      </w:r>
    </w:p>
    <w:p>
      <w:r>
        <w:t>If you are weighing a move right now, the full version is in my video on the three things to check before you quit.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80" w:line="360" w:lineRule="auto"/>
    </w:pPr>
    <w:rPr>
      <w:rFonts w:ascii="Calibri" w:hAnsi="Calibri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