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MANUAL EDITS — NOT PUBLISHABLE FROM THE REPOSITORY</w:t>
            </w:r>
          </w:p>
          <w:p>
            <w:r>
              <w:rPr>
                <w:b/>
                <w:color w:val="FFFFFF"/>
                <w:sz w:val="40"/>
              </w:rPr>
              <w:t>September 23 — Maven and Website Edit Checklist</w:t>
            </w:r>
          </w:p>
          <w:p>
            <w:r>
              <w:rPr>
                <w:i/>
                <w:color w:val="E3D9C4"/>
                <w:sz w:val="22"/>
              </w:rPr>
              <w:t>v1.3  ·  Prepared Saturday, September 19, 2026 at 11:20 AM CT</w:t>
            </w:r>
          </w:p>
        </w:tc>
      </w:tr>
    </w:tbl>
    <w:p>
      <w:pPr>
        <w:spacing w:after="80"/>
      </w:pPr>
    </w:p>
    <w:p>
      <w:pPr>
        <w:spacing w:after="160"/>
      </w:pPr>
      <w:r>
        <w:rPr>
          <w:b/>
          <w:i w:val="0"/>
          <w:color w:val="B00000"/>
          <w:sz w:val="19"/>
        </w:rPr>
        <w:t>NOTHING IN THIS CHECKLIST HAPPENS AUTOMATICALLY. The repository has no route to publish to Maven or to the live site. The Maven values in sections A to E are the owner's own verified reading of the live page, not anything this pass read: maven.com and temidayoafonja.com are both blocked by this environment's network egress. The website lines in section F are quoted from the repository with their file and line numbers, and were confirmed against origin/main.</w:t>
      </w:r>
    </w:p>
    <w:p>
      <w:pPr>
        <w:spacing w:before="100" w:after="100" w:line="40" w:lineRule="exact"/>
        <w:pBdr>
          <w:bottom w:val="single" w:sz="6" w:space="1" w:color="B8C5D9"/>
        </w:pBdr>
      </w:pPr>
    </w:p>
    <w:p>
      <w:pPr>
        <w:spacing w:before="320" w:after="160"/>
      </w:pPr>
      <w:r>
        <w:rPr>
          <w:b/>
          <w:color w:val="0F2347"/>
          <w:sz w:val="32"/>
        </w:rPr>
        <w:t>A. Maven — instructor title</w:t>
      </w:r>
    </w:p>
    <w:p>
      <w:pPr>
        <w:spacing w:after="160"/>
      </w:pPr>
      <w:r>
        <w:rPr>
          <w:b w:val="0"/>
          <w:i w:val="0"/>
          <w:color w:val="000000"/>
          <w:sz w:val="19"/>
        </w:rPr>
        <w:t>ALREADY CURRENT — DO NOT OVERWRITE. Verified on the live page. The instructor title is aligned and must remain unchanged. The table below is kept only as the record of when it changed.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
              <w:rPr>
                <w:b/>
                <w:color w:val="FFFFFF"/>
                <w:sz w:val="19"/>
              </w:rPr>
              <w:t>Field</w:t>
            </w:r>
          </w:p>
        </w:tc>
        <w:tc>
          <w:tcPr>
            <w:tcW w:type="dxa" w:w="7488"/>
            <w:shd w:val="clear" w:fill="0F2347"/>
          </w:tcPr>
          <w:p>
            <w:r/>
            <w:r>
              <w:rPr>
                <w:b/>
                <w:color w:val="FFFFFF"/>
                <w:sz w:val="19"/>
              </w:rPr>
              <w:t>Value</w:t>
            </w:r>
          </w:p>
        </w:tc>
      </w:tr>
      <w:tr>
        <w:trPr>
          <w:cantSplit w:val="true"/>
        </w:trPr>
        <w:tc>
          <w:tcPr>
            <w:tcW w:type="dxa" w:w="2160"/>
          </w:tcPr>
          <w:p>
            <w:r/>
            <w:r>
              <w:rPr>
                <w:b/>
                <w:sz w:val="19"/>
              </w:rPr>
              <w:t>Replace</w:t>
            </w:r>
          </w:p>
        </w:tc>
        <w:tc>
          <w:tcPr>
            <w:tcW w:type="dxa" w:w="7488"/>
          </w:tcPr>
          <w:p>
            <w:r/>
            <w:r>
              <w:rPr>
                <w:sz w:val="19"/>
              </w:rPr>
              <w:t>Organizational Capability Architect | Author, The Capability Audit</w:t>
            </w:r>
          </w:p>
        </w:tc>
      </w:tr>
      <w:tr>
        <w:trPr>
          <w:cantSplit w:val="true"/>
        </w:trPr>
        <w:tc>
          <w:tcPr>
            <w:tcW w:type="dxa" w:w="2160"/>
          </w:tcPr>
          <w:p>
            <w:r/>
            <w:r>
              <w:rPr>
                <w:b/>
                <w:sz w:val="19"/>
              </w:rPr>
              <w:t>With</w:t>
            </w:r>
          </w:p>
        </w:tc>
        <w:tc>
          <w:tcPr>
            <w:tcW w:type="dxa" w:w="7488"/>
          </w:tcPr>
          <w:p>
            <w:r/>
            <w:r>
              <w:rPr>
                <w:sz w:val="19"/>
              </w:rPr>
              <w:t>Career Portability Advisor | Author, The Capability Audit</w:t>
            </w:r>
          </w:p>
        </w:tc>
      </w:tr>
      <w:tr>
        <w:trPr>
          <w:cantSplit w:val="true"/>
        </w:trPr>
        <w:tc>
          <w:tcPr>
            <w:tcW w:type="dxa" w:w="2160"/>
          </w:tcPr>
          <w:p>
            <w:r/>
            <w:r>
              <w:rPr>
                <w:b/>
                <w:sz w:val="19"/>
              </w:rPr>
              <w:t>Why</w:t>
            </w:r>
          </w:p>
        </w:tc>
        <w:tc>
          <w:tcPr>
            <w:tcW w:type="dxa" w:w="7488"/>
          </w:tcPr>
          <w:p>
            <w:r/>
            <w:r>
              <w:rPr>
                <w:sz w:val="19"/>
              </w:rPr>
              <w:t>The public positioning is Career Portability Advisor. The retired title is the last place it survives in anything participant-facing; it appears nowhere in the deck, the SOP or the workbook.</w:t>
            </w:r>
          </w:p>
        </w:tc>
      </w:tr>
    </w:tbl>
    <w:p>
      <w:pPr>
        <w:spacing w:after="80"/>
      </w:pPr>
    </w:p>
    <w:p>
      <w:pPr>
        <w:spacing w:before="100" w:after="100" w:line="40" w:lineRule="exact"/>
        <w:pBdr>
          <w:bottom w:val="single" w:sz="6" w:space="1" w:color="B8C5D9"/>
        </w:pBdr>
      </w:pPr>
    </w:p>
    <w:p>
      <w:pPr>
        <w:spacing w:before="320" w:after="160"/>
      </w:pPr>
      <w:r>
        <w:rPr>
          <w:b/>
          <w:color w:val="0F2347"/>
          <w:sz w:val="32"/>
        </w:rPr>
        <w:t>B. Maven — instructor bio</w:t>
      </w:r>
    </w:p>
    <w:p>
      <w:pPr>
        <w:spacing w:after="160"/>
      </w:pPr>
      <w:r>
        <w:rPr>
          <w:b w:val="0"/>
          <w:i w:val="0"/>
          <w:color w:val="000000"/>
          <w:sz w:val="19"/>
        </w:rPr>
        <w:t>ALREADY CURRENT — DO NOT OVERWRITE. Verified on the live page. The bio is aligned and must remain unchanged. Do not paste the version below over it; it is kept only as the record.</w:t>
      </w:r>
    </w:p>
    <w:p>
      <w:pPr>
        <w:spacing w:after="160"/>
      </w:pPr>
      <w:r>
        <w:rPr>
          <w:b w:val="0"/>
          <w:i w:val="0"/>
          <w:color w:val="000000"/>
          <w:sz w:val="19"/>
        </w:rPr>
        <w:t>Temidayo Afonja is a Career Portability Advisor, founder of The Density Group and author of The Capability Audit. Her 18-year career has moved through accounting and audit, cybersecurity, people strategy, employee experience and enterprise transformation across multiple industries and sectors.</w:t>
      </w:r>
    </w:p>
    <w:p>
      <w:pPr>
        <w:spacing w:after="160"/>
      </w:pPr>
      <w:r>
        <w:rPr>
          <w:b w:val="0"/>
          <w:i w:val="0"/>
          <w:color w:val="000000"/>
          <w:sz w:val="19"/>
        </w:rPr>
        <w:t>That journey shaped the question behind Capability Formation: what has your work built in you, and what remains useful when the context changes? She helps experienced professionals understand what they can carry across roles, functions, employers and industries, and make their next move without assuming they have to start from zero.</w:t>
      </w:r>
    </w:p>
    <w:p>
      <w:pPr>
        <w:spacing w:before="100" w:after="100" w:line="40" w:lineRule="exact"/>
        <w:pBdr>
          <w:bottom w:val="single" w:sz="6" w:space="1" w:color="B8C5D9"/>
        </w:pBdr>
      </w:pPr>
    </w:p>
    <w:p>
      <w:pPr>
        <w:spacing w:before="320" w:after="160"/>
      </w:pPr>
      <w:r>
        <w:rPr>
          <w:b/>
          <w:color w:val="0F2347"/>
          <w:sz w:val="32"/>
        </w:rPr>
        <w:t>C. Maven — learning outcome 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Pr>
                <w:b/>
                <w:color w:val="FFFFFF"/>
                <w:sz w:val="19"/>
              </w:rPr>
              <w:t>Live wording, verified</w:t>
            </w:r>
          </w:p>
        </w:tc>
        <w:tc>
          <w:tcPr>
            <w:tcW w:type="dxa" w:w="7488"/>
            <w:shd w:val="clear" w:fill="0F2347"/>
          </w:tcPr>
          <w:p>
            <w:r>
              <w:rPr>
                <w:b/>
                <w:color w:val="FFFFFF"/>
                <w:sz w:val="19"/>
              </w:rPr>
              <w:t>Replace with</w:t>
            </w:r>
          </w:p>
        </w:tc>
      </w:tr>
      <w:tr>
        <w:trPr>
          <w:cantSplit w:val="true"/>
        </w:trPr>
        <w:tc>
          <w:tcPr>
            <w:tcW w:type="dxa" w:w="2160"/>
          </w:tcPr>
          <w:p>
            <w:r>
              <w:rPr>
                <w:b/>
                <w:sz w:val="19"/>
              </w:rPr>
              <w:t>Know whether your job is still building you</w:t>
            </w:r>
          </w:p>
        </w:tc>
        <w:tc>
          <w:tcPr>
            <w:tcW w:type="dxa" w:w="7488"/>
          </w:tcPr>
          <w:p>
            <w:r>
              <w:rPr>
                <w:sz w:val="19"/>
              </w:rPr>
              <w:t>OUTCOME 1 — See whether your current work is still building you. Supporting copy: use evidence from your last 90 days of actual work to distinguish continued formation from familiar performance.</w:t>
            </w:r>
          </w:p>
        </w:tc>
      </w:tr>
      <w:tr>
        <w:trPr>
          <w:cantSplit w:val="true"/>
        </w:trPr>
        <w:tc>
          <w:tcPr>
            <w:tcW w:type="dxa" w:w="2160"/>
          </w:tcPr>
          <w:p>
            <w:r>
              <w:rPr>
                <w:b/>
                <w:sz w:val="19"/>
              </w:rPr>
              <w:t>Know what you can carry into another role</w:t>
            </w:r>
          </w:p>
        </w:tc>
        <w:tc>
          <w:tcPr>
            <w:tcW w:type="dxa" w:w="7488"/>
          </w:tcPr>
          <w:p>
            <w:r>
              <w:rPr>
                <w:sz w:val="19"/>
              </w:rPr>
              <w:t>OUTCOME 2 — See what may still count when the context changes. Supporting copy: examine what may travel beyond your current role or employer, where the evidence is strong, and what may still require testing or relearning.</w:t>
            </w:r>
          </w:p>
        </w:tc>
      </w:tr>
      <w:tr>
        <w:trPr>
          <w:cantSplit w:val="true"/>
        </w:trPr>
        <w:tc>
          <w:tcPr>
            <w:tcW w:type="dxa" w:w="2160"/>
          </w:tcPr>
          <w:p>
            <w:r>
              <w:rPr>
                <w:b/>
                <w:sz w:val="19"/>
              </w:rPr>
              <w:t>Decide your next career move</w:t>
            </w:r>
          </w:p>
        </w:tc>
        <w:tc>
          <w:tcPr>
            <w:tcW w:type="dxa" w:w="7488"/>
          </w:tcPr>
          <w:p>
            <w:r>
              <w:rPr>
                <w:sz w:val="19"/>
              </w:rPr>
              <w:t>OUTCOME 3 — Identify which move is worth testing next. Supporting copy: evaluate seven move categories and leave with a Next-Move Note naming the direction your evidence supports testing next.</w:t>
            </w:r>
          </w:p>
        </w:tc>
      </w:tr>
      <w:tr>
        <w:trPr>
          <w:cantSplit w:val="true"/>
        </w:trPr>
        <w:tc>
          <w:tcPr>
            <w:tcW w:type="dxa" w:w="2160"/>
          </w:tcPr>
          <w:p>
            <w:r>
              <w:rPr>
                <w:b/>
                <w:sz w:val="19"/>
              </w:rPr>
              <w:t>Why all three</w:t>
            </w:r>
          </w:p>
        </w:tc>
        <w:tc>
          <w:tcPr>
            <w:tcW w:type="dxa" w:w="7488"/>
          </w:tcPr>
          <w:p>
            <w:r>
              <w:rPr>
                <w:sz w:val="19"/>
              </w:rPr>
              <w:t>The session does not make the stay-or-leave decision for the participant and the listing must not promise that it does. Outcome 2 must not promise destination-specific portability when no destination has been named. This is the same boundary the deck and the SOP hold.</w:t>
            </w:r>
          </w:p>
        </w:tc>
      </w:tr>
      <w:tr>
        <w:trPr>
          <w:cantSplit w:val="true"/>
        </w:trPr>
        <w:tc>
          <w:tcPr>
            <w:tcW w:type="dxa" w:w="2160"/>
          </w:tcPr>
          <w:p>
            <w:r>
              <w:rPr>
                <w:b/>
                <w:sz w:val="19"/>
              </w:rPr>
              <w:t>Do not change</w:t>
            </w:r>
          </w:p>
        </w:tc>
        <w:tc>
          <w:tcPr>
            <w:tcW w:type="dxa" w:w="7488"/>
          </w:tcPr>
          <w:p>
            <w:r>
              <w:rPr>
                <w:sz w:val="19"/>
              </w:rPr>
              <w:t>Date, time, duration and instructor positioning. Wednesday, September 23, 2026, 6:00 PM CT, 60 minutes, free.</w:t>
            </w:r>
          </w:p>
        </w:tc>
      </w:tr>
    </w:tbl>
    <w:p>
      <w:pPr>
        <w:spacing w:after="80"/>
      </w:pPr>
    </w:p>
    <w:p>
      <w:pPr>
        <w:spacing w:before="100" w:after="100" w:line="40" w:lineRule="exact"/>
        <w:pBdr>
          <w:bottom w:val="single" w:sz="6" w:space="1" w:color="B8C5D9"/>
        </w:pBdr>
      </w:pPr>
    </w:p>
    <w:p>
      <w:pPr>
        <w:spacing w:before="320" w:after="160"/>
      </w:pPr>
      <w:r>
        <w:rPr>
          <w:b/>
          <w:color w:val="0F2347"/>
          <w:sz w:val="32"/>
        </w:rPr>
        <w:t>D. Maven — why this topic matters</w:t>
      </w:r>
    </w:p>
    <w:p>
      <w:pPr>
        <w:spacing w:after="160"/>
      </w:pPr>
      <w:r>
        <w:rPr>
          <w:b w:val="0"/>
          <w:i w:val="0"/>
          <w:color w:val="000000"/>
          <w:sz w:val="19"/>
        </w:rPr>
        <w:t>Recognize the experienced professional before teaching anything, and do not call the session private. Private SCORING is accurate and should be said. Calling the group session itself private is not. Use “live, evidence-based session” or “guided, evidence-based session”.</w:t>
      </w:r>
    </w:p>
    <w:p>
      <w:pPr>
        <w:spacing w:after="160"/>
      </w:pPr>
      <w:r>
        <w:rPr>
          <w:b w:val="0"/>
          <w:i/>
          <w:color w:val="555555"/>
          <w:sz w:val="18"/>
        </w:rPr>
        <w:t>Suggested direction, to adapt rather than paste:</w:t>
      </w:r>
    </w:p>
    <w:p>
      <w:pPr>
        <w:spacing w:after="160"/>
      </w:pPr>
      <w:r>
        <w:rPr>
          <w:b w:val="0"/>
          <w:i w:val="0"/>
          <w:color w:val="000000"/>
          <w:sz w:val="19"/>
        </w:rPr>
        <w:t>Suggested direction, to adapt rather than paste: experienced professionals can be performing well, trusted with important work and carrying real responsibility while becoming less certain about what the work is building for the future. The difficult question is not only whether the job is good or bad. It is whether the work is still expanding your judgment, what would remain useful if the context changed, and what your recent evidence supports testing next. This live, evidence-based session uses your own last 90 days of work to help you read that more clearly. Your scoring stays private throughout.</w:t>
      </w:r>
    </w:p>
    <w:p>
      <w:pPr>
        <w:spacing w:before="100" w:after="100" w:line="40" w:lineRule="exact"/>
        <w:pBdr>
          <w:bottom w:val="single" w:sz="6" w:space="1" w:color="B8C5D9"/>
        </w:pBdr>
      </w:pPr>
    </w:p>
    <w:p>
      <w:pPr>
        <w:spacing w:before="320" w:after="160"/>
      </w:pPr>
      <w:r>
        <w:rPr>
          <w:b/>
          <w:color w:val="0F2347"/>
          <w:sz w:val="32"/>
        </w:rPr>
        <w:t>E. Maven — verify, do not assume</w:t>
      </w:r>
    </w:p>
    <w:p>
      <w:pPr>
        <w:pStyle w:val="ListBullet"/>
        <w:spacing w:after="60"/>
      </w:pPr>
      <w:r>
        <w:rPr>
          <w:color w:val="000000"/>
          <w:sz w:val="19"/>
        </w:rPr>
        <w:t>Event title reads “Stay or Leave?” with “Live Career Growth Assessment”. The deck matches this. If the live page differs, the deck is wrong and must be corrected rather than the page.</w:t>
      </w:r>
    </w:p>
    <w:p>
      <w:pPr>
        <w:pStyle w:val="ListBullet"/>
        <w:spacing w:after="60"/>
      </w:pPr>
      <w:r>
        <w:rPr>
          <w:color w:val="000000"/>
          <w:sz w:val="19"/>
        </w:rPr>
        <w:t>Date Wednesday, September 23, 2026. Time 6:00 PM CT. Duration 60 minutes. Price free.</w:t>
      </w:r>
    </w:p>
    <w:p>
      <w:pPr>
        <w:pStyle w:val="ListBullet"/>
        <w:spacing w:after="60"/>
      </w:pPr>
      <w:r>
        <w:rPr>
          <w:color w:val="000000"/>
          <w:sz w:val="19"/>
        </w:rPr>
        <w:t>Registration URL is exactly https://maven.com/p/8b3c40/stay-or-leave-live-career-growth-assessment.</w:t>
      </w:r>
    </w:p>
    <w:p>
      <w:pPr>
        <w:pStyle w:val="ListBullet"/>
        <w:spacing w:after="60"/>
      </w:pPr>
      <w:r>
        <w:rPr>
          <w:color w:val="000000"/>
          <w:sz w:val="19"/>
        </w:rPr>
        <w:t>Registration is open with no artificial marketing cap, and the cap that does exist is the real capacity of the connected Zoom plan. Record that number in the SOP before promotion continues.</w:t>
      </w:r>
    </w:p>
    <w:p>
      <w:pPr>
        <w:spacing w:before="100" w:after="100" w:line="40" w:lineRule="exact"/>
        <w:pBdr>
          <w:bottom w:val="single" w:sz="6" w:space="1" w:color="B8C5D9"/>
        </w:pBdr>
      </w:pPr>
    </w:p>
    <w:p>
      <w:pPr>
        <w:spacing w:before="320" w:after="160"/>
      </w:pPr>
      <w:r>
        <w:rPr>
          <w:b/>
          <w:color w:val="0F2347"/>
          <w:sz w:val="32"/>
        </w:rPr>
        <w:t>F. Website — changes needing a separate deployment</w:t>
      </w:r>
    </w:p>
    <w:p>
      <w:pPr>
        <w:spacing w:after="160"/>
      </w:pPr>
      <w:r>
        <w:rPr>
          <w:b/>
          <w:i w:val="0"/>
          <w:color w:val="000000"/>
          <w:sz w:val="19"/>
        </w:rPr>
        <w:t>These are code or CMS changes. None of them ship with the deck, the SOP or the QA report, and none were verifiable from here.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168"/>
            <w:shd w:val="clear" w:fill="0F2347"/>
          </w:tcPr>
          <w:p>
            <w:r>
              <w:rPr>
                <w:b/>
                <w:color w:val="FFFFFF"/>
                <w:sz w:val="19"/>
              </w:rPr>
              <w:t>Item</w:t>
            </w:r>
          </w:p>
        </w:tc>
        <w:tc>
          <w:tcPr>
            <w:tcW w:type="dxa" w:w="6480"/>
            <w:shd w:val="clear" w:fill="0F2347"/>
          </w:tcPr>
          <w:p>
            <w:r>
              <w:rPr>
                <w:b/>
                <w:color w:val="FFFFFF"/>
                <w:sz w:val="19"/>
              </w:rPr>
              <w:t>Change</w:t>
            </w:r>
          </w:p>
        </w:tc>
      </w:tr>
      <w:tr>
        <w:trPr>
          <w:cantSplit w:val="true"/>
        </w:trPr>
        <w:tc>
          <w:tcPr>
            <w:tcW w:type="dxa" w:w="3168"/>
          </w:tcPr>
          <w:p>
            <w:r>
              <w:rPr>
                <w:b/>
                <w:sz w:val="19"/>
              </w:rPr>
              <w:t>A. Private Read is retired but publicly visible — LARGEST ITEM</w:t>
            </w:r>
          </w:p>
        </w:tc>
        <w:tc>
          <w:tcPr>
            <w:tcW w:type="dxa" w:w="6480"/>
          </w:tcPr>
          <w:p>
            <w:r>
              <w:rPr>
                <w:sz w:val="19"/>
              </w:rPr>
              <w:t>It must come out of the current public offer architecture. fieldkit.html:337 carries “The Private Capability Position Read” with an “Enquire about the Private Read” call to action at line 349 pointing to work.html#get-in-touch, and line 348 still frames it as the choice beside the Field Kit. for-professionals.html:255 carries a Private Capability Position Read block with a mailto call to action. content/site-source-of-truth.json describes it as a current offer. DO NOT substitute a Career Move Review call to action until that route is operational and verified: removing the retired offer and adding a new one are two separate decisions.</w:t>
            </w:r>
          </w:p>
        </w:tc>
      </w:tr>
      <w:tr>
        <w:trPr>
          <w:cantSplit w:val="true"/>
        </w:trPr>
        <w:tc>
          <w:tcPr>
            <w:tcW w:type="dxa" w:w="3168"/>
          </w:tcPr>
          <w:p>
            <w:r>
              <w:rPr>
                <w:b/>
                <w:sz w:val="19"/>
              </w:rPr>
              <w:t>B. /fieldkit defines Optionality partly as visibility</w:t>
            </w:r>
          </w:p>
        </w:tc>
        <w:tc>
          <w:tcPr>
            <w:tcW w:type="dxa" w:w="6480"/>
          </w:tcPr>
          <w:p>
            <w:r>
              <w:rPr>
                <w:sz w:val="19"/>
              </w:rPr>
              <w:t>fieldkit.html:230 reads “Optionality, your market portability. Whether that capability is yours to carry, and whether the people who could use it have seen it.” Flag for revision. Visibility is not evidence and should not define portability. The deck now reads Optionality as usefulness beyond the current context plus legibility through evidence, and the site should follow.</w:t>
            </w:r>
          </w:p>
        </w:tc>
      </w:tr>
      <w:tr>
        <w:trPr>
          <w:cantSplit w:val="true"/>
        </w:trPr>
        <w:tc>
          <w:tcPr>
            <w:tcW w:type="dxa" w:w="3168"/>
          </w:tcPr>
          <w:p>
            <w:r>
              <w:rPr>
                <w:b/>
                <w:sz w:val="19"/>
              </w:rPr>
              <w:t>C. /for-professionals combines two different offers</w:t>
            </w:r>
          </w:p>
        </w:tc>
        <w:tc>
          <w:tcPr>
            <w:tcW w:type="dxa" w:w="6480"/>
          </w:tcPr>
          <w:p>
            <w:r>
              <w:rPr>
                <w:sz w:val="19"/>
              </w:rPr>
              <w:t>for-professionals.html:222 reads “Keep the Proof: The 10-Minute Career Evidence Starter”, linking to /career-evidence-starter. That is one label over two products. Current architecture: Career Evidence Starter is FREE, Keep the Proof is $49. Flag for correction so the free entry artifact and the paid product are named separately.</w:t>
            </w:r>
          </w:p>
        </w:tc>
      </w:tr>
      <w:tr>
        <w:trPr>
          <w:cantSplit w:val="true"/>
        </w:trPr>
        <w:tc>
          <w:tcPr>
            <w:tcW w:type="dxa" w:w="3168"/>
          </w:tcPr>
          <w:p>
            <w:r>
              <w:rPr>
                <w:b/>
                <w:sz w:val="19"/>
              </w:rPr>
              <w:t>D. /for-professionals promises a decision</w:t>
            </w:r>
          </w:p>
        </w:tc>
        <w:tc>
          <w:tcPr>
            <w:tcW w:type="dxa" w:w="6480"/>
          </w:tcPr>
          <w:p>
            <w:r>
              <w:rPr>
                <w:sz w:val="19"/>
              </w:rPr>
              <w:t>for-professionals.html:217 reads “See whether your role is still building your capability, identify what would travel with you, and decide your next move.” Replace with language consistent with the listing: see what may still count when the context changes, and identify which move is worth testing next.</w:t>
            </w:r>
          </w:p>
        </w:tc>
      </w:tr>
      <w:tr>
        <w:trPr>
          <w:cantSplit w:val="true"/>
        </w:trPr>
        <w:tc>
          <w:tcPr>
            <w:tcW w:type="dxa" w:w="3168"/>
          </w:tcPr>
          <w:p>
            <w:r>
              <w:rPr>
                <w:b/>
                <w:sz w:val="19"/>
              </w:rPr>
              <w:t>Career Move Review — does not exist yet</w:t>
            </w:r>
          </w:p>
        </w:tc>
        <w:tc>
          <w:tcPr>
            <w:tcW w:type="dxa" w:w="6480"/>
          </w:tcPr>
          <w:p>
            <w:r>
              <w:rPr>
                <w:sz w:val="19"/>
              </w:rPr>
              <w:t>No page, no route, no copy, on this branch or on origin/main. Until a verified individual-professional route exists it stays off the participant-facing continuation slide and is not sold from the stage. Do not route it to the enterprise Advisory page and do not reuse a retired Private Read link.</w:t>
            </w:r>
          </w:p>
        </w:tc>
      </w:tr>
      <w:tr>
        <w:trPr>
          <w:cantSplit w:val="true"/>
        </w:trPr>
        <w:tc>
          <w:tcPr>
            <w:tcW w:type="dxa" w:w="3168"/>
          </w:tcPr>
          <w:p>
            <w:r>
              <w:rPr>
                <w:b/>
                <w:sz w:val="19"/>
              </w:rPr>
              <w:t>Field Kit route</w:t>
            </w:r>
          </w:p>
        </w:tc>
        <w:tc>
          <w:tcPr>
            <w:tcW w:type="dxa" w:w="6480"/>
          </w:tcPr>
          <w:p>
            <w:r>
              <w:rPr>
                <w:sz w:val="19"/>
              </w:rPr>
              <w:t>temidayoafonja.com/fieldkit is the participant-facing route on the deck face, the QR target and the prebuilt chat message. Confirm the page is live, resolves without a redirect chain, and shows the current $150 price.</w:t>
            </w:r>
          </w:p>
        </w:tc>
      </w:tr>
      <w:tr>
        <w:trPr>
          <w:cantSplit w:val="true"/>
        </w:trPr>
        <w:tc>
          <w:tcPr>
            <w:tcW w:type="dxa" w:w="3168"/>
          </w:tcPr>
          <w:p>
            <w:r>
              <w:rPr>
                <w:b/>
                <w:sz w:val="19"/>
              </w:rPr>
              <w:t>Preserve unchanged</w:t>
            </w:r>
          </w:p>
        </w:tc>
        <w:tc>
          <w:tcPr>
            <w:tcW w:type="dxa" w:w="6480"/>
          </w:tcPr>
          <w:p>
            <w:r>
              <w:rPr>
                <w:sz w:val="19"/>
              </w:rPr>
              <w:t>September 23, free, 60 minutes, current live time, Field Kit $150, and every individual-professional call to action reaching an individual path rather than the enterprise Advisory page.</w:t>
            </w:r>
          </w:p>
        </w:tc>
      </w:tr>
    </w:tbl>
    <w:p>
      <w:pPr>
        <w:spacing w:after="80"/>
      </w:pPr>
    </w:p>
    <w:p>
      <w:pPr>
        <w:spacing w:before="100" w:after="100" w:line="40" w:lineRule="exact"/>
        <w:pBdr>
          <w:bottom w:val="single" w:sz="6" w:space="1" w:color="B8C5D9"/>
        </w:pBdr>
      </w:pPr>
    </w:p>
    <w:p>
      <w:pPr>
        <w:spacing w:before="320" w:after="160"/>
      </w:pPr>
      <w:r>
        <w:rPr>
          <w:b/>
          <w:color w:val="0F2347"/>
          <w:sz w:val="32"/>
        </w:rPr>
        <w:t>G. What this checklist does not claim</w:t>
      </w:r>
    </w:p>
    <w:p>
      <w:pPr>
        <w:pStyle w:val="ListBullet"/>
        <w:spacing w:after="60"/>
      </w:pPr>
      <w:r>
        <w:rPr>
          <w:color w:val="B00000"/>
          <w:sz w:val="19"/>
        </w:rPr>
        <w:t>No live page was read. maven.com and temidayoafonja.com are both blocked by this environment's egress proxy, so the “current” values in sections A and C are quoted from the brief and have not been confirmed against the pages themselves.</w:t>
      </w:r>
    </w:p>
    <w:p>
      <w:pPr>
        <w:pStyle w:val="ListBullet"/>
        <w:spacing w:after="60"/>
      </w:pPr>
      <w:r>
        <w:rPr>
          <w:color w:val="B00000"/>
          <w:sz w:val="19"/>
        </w:rPr>
        <w:t>Nothing here has been published. Every item is a manual edit.</w:t>
      </w:r>
    </w:p>
    <w:p>
      <w:pPr>
        <w:pStyle w:val="ListBullet"/>
        <w:spacing w:after="60"/>
      </w:pPr>
      <w:r>
        <w:rPr>
          <w:color w:val="B00000"/>
          <w:sz w:val="19"/>
        </w:rPr>
        <w:t>The Private Capability Position Read is retired as an offer and is still publicly visible on two pages. Removing it is the largest item in section F and cannot be done from this package. Do not substitute a Career Move Review call to action in its place: that route does not exist yet, which is also why deck v2.0.7 keeps Career Move Review off the participant-facing continuation slide.</w:t>
      </w:r>
    </w:p>
    <w:p>
      <w:pPr>
        <w:spacing w:before="100" w:after="100" w:line="40" w:lineRule="exact"/>
        <w:pBdr>
          <w:bottom w:val="single" w:sz="6" w:space="1" w:color="B8C5D9"/>
        </w:pBdr>
      </w:pPr>
    </w:p>
    <w:p>
      <w:pPr>
        <w:spacing w:after="0"/>
      </w:pPr>
      <w:r>
        <w:rPr>
          <w:b w:val="0"/>
          <w:i/>
          <w:color w:val="555555"/>
          <w:sz w:val="16"/>
        </w:rPr>
        <w:t>MANUAL MAVEN AND WEBSITE EDIT CHECKLIST v1.3  ·  INTERNAL ONLY  ·  Prepared Saturday, September 19, 2026 at 11:20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