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4  ·  v5.0 BELONGING + IDENTITY</w:t>
      </w:r>
    </w:p>
    <w:p>
      <w:pPr>
        <w:spacing w:before="0" w:after="36" w:line="250" w:lineRule="auto"/>
      </w:pPr>
      <w:r>
        <w:rPr>
          <w:b/>
          <w:i w:val="0"/>
          <w:color w:val="0F2346"/>
          <w:sz w:val="40"/>
        </w:rPr>
        <w:t>How to Explain Your Career Change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How to Explain Your Career Change</w:t>
      </w:r>
    </w:p>
    <w:p>
      <w:pPr>
        <w:spacing w:before="0" w:after="30" w:line="250" w:lineRule="auto"/>
        <w:keepLines w:val="1"/>
      </w:pPr>
      <w:r>
        <w:rPr>
          <w:b w:val="0"/>
          <w:i w:val="0"/>
          <w:sz w:val="22"/>
        </w:rPr>
        <w:t>Thumbnail:               YOUR CAREER MAKES SENSE</w:t>
      </w:r>
    </w:p>
    <w:p>
      <w:pPr>
        <w:spacing w:before="0" w:after="30" w:line="250" w:lineRule="auto"/>
        <w:keepLines w:val="1"/>
      </w:pPr>
      <w:r>
        <w:rPr>
          <w:b w:val="0"/>
          <w:i w:val="0"/>
          <w:sz w:val="22"/>
        </w:rPr>
        <w:t>Primary search phrase:   how to explain your career change</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Video 5 — Should I Make an Internal Move? 3 Questions to Decide</w:t>
      </w:r>
    </w:p>
    <w:p>
      <w:pPr>
        <w:spacing w:before="0" w:after="30" w:line="250" w:lineRule="auto"/>
        <w:keepLines w:val="1"/>
      </w:pPr>
      <w:r>
        <w:rPr>
          <w:b w:val="0"/>
          <w:i w:val="0"/>
          <w:sz w:val="22"/>
        </w:rPr>
        <w:t>Memory device:           The three-sentence career explanation. No acronym, no second framework.</w:t>
      </w:r>
    </w:p>
    <w:p>
      <w:pPr>
        <w:spacing w:before="0" w:after="36" w:line="250" w:lineRule="auto"/>
        <w:keepLines w:val="1"/>
      </w:pPr>
      <w:r>
        <w:rPr>
          <w:b/>
          <w:i w:val="0"/>
          <w:color w:val="9B2C10"/>
          <w:sz w:val="22"/>
        </w:rPr>
        <w:t>Do not restore Keep the Proof as the CTA. Do not add the Capability Formation Field Kit, CAR or the Career Evidence 3 Cs to this video.</w:t>
      </w:r>
    </w:p>
    <w:p>
      <w:pPr>
        <w:spacing w:before="0" w:after="36" w:line="250" w:lineRule="auto"/>
        <w:keepLines w:val="1"/>
      </w:pPr>
      <w:r>
        <w:rPr>
          <w:b/>
          <w:i w:val="0"/>
          <w:color w:val="9B2C10"/>
          <w:sz w:val="22"/>
        </w:rPr>
        <w:t>NO CAT IMAGERY. Not in the edit, not in a graphic, not in the thumbnail.</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can explain a nonlinear career without apologising for it and without inventing a plan they never had.</w:t>
      </w:r>
    </w:p>
    <w:p>
      <w:pPr>
        <w:spacing w:before="0" w:after="48" w:line="250" w:lineRule="auto"/>
        <w:keepLines w:val="1"/>
      </w:pPr>
      <w:r>
        <w:rPr>
          <w:b w:val="0"/>
          <w:i w:val="0"/>
          <w:sz w:val="22"/>
        </w:rPr>
        <w:t>This video is about being heard, so it should feel the most conversational in the series. Temidayo repeatedly stands in as the person across the table. Those lines only work on her face.</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looking at their own CV thinking: this makes sense to me because I lived it, and I am not sure it makes sense to anyone else.</w:t>
      </w:r>
    </w:p>
    <w:p>
      <w:pPr>
        <w:spacing w:before="0" w:after="36" w:line="250" w:lineRule="auto"/>
      </w:pPr>
      <w:r>
        <w:rPr>
          <w:b w:val="0"/>
          <w:i w:val="0"/>
          <w:sz w:val="22"/>
        </w:rPr>
        <w:t>They have probably had the experience of watching someone's attention go while they were still talking. That moment is the doorway into this video.</w:t>
      </w:r>
    </w:p>
    <w:p>
      <w:pPr>
        <w:spacing w:before="0" w:after="36" w:line="250" w:lineRule="auto"/>
      </w:pPr>
      <w:r>
        <w:rPr>
          <w:b w:val="0"/>
          <w:i w:val="0"/>
          <w:sz w:val="22"/>
        </w:rPr>
        <w:t>They do not need confidence advice. They need a structure that lets a true story be heard.</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first, then her own version of the same failure, then the distinction, and only then the method at about 2:28.</w:t>
      </w:r>
    </w:p>
    <w:p>
      <w:pPr>
        <w:spacing w:before="0" w:after="30" w:line="250" w:lineRule="auto"/>
        <w:keepLines w:val="1"/>
      </w:pPr>
      <w:r>
        <w:rPr>
          <w:b w:val="0"/>
          <w:i w:val="0"/>
          <w:sz w:val="22"/>
        </w:rPr>
        <w:t>—  The established fact in full: a senior-manager friend at EY used to joke that Temidayo was a cat with nine lives, because her career kept turning up somewhere that looked unrelated to the last place.</w:t>
      </w:r>
    </w:p>
    <w:p>
      <w:pPr>
        <w:spacing w:before="0" w:after="30" w:line="250" w:lineRule="auto"/>
        <w:keepLines w:val="1"/>
      </w:pPr>
      <w:r>
        <w:rPr>
          <w:b w:val="0"/>
          <w:i w:val="0"/>
          <w:sz w:val="22"/>
        </w:rPr>
        <w:t>—  Do NOT invent the original conversation, do not script the friend's words beyond the joke, and use NO cat imagery of any kind.</w:t>
      </w:r>
    </w:p>
    <w:p>
      <w:pPr>
        <w:spacing w:before="0" w:after="30" w:line="250" w:lineRule="auto"/>
        <w:keepLines w:val="1"/>
      </w:pPr>
      <w:r>
        <w:rPr>
          <w:b w:val="0"/>
          <w:i w:val="0"/>
          <w:sz w:val="22"/>
        </w:rPr>
        <w:t>—  Her own failure is named plainly: “for a long time, when I explained it, I made it sound even more scattered than it really was.” That admission is what earns the method.</w:t>
      </w:r>
    </w:p>
    <w:p>
      <w:pPr>
        <w:spacing w:before="0" w:after="30" w:line="250" w:lineRule="auto"/>
        <w:keepLines w:val="1"/>
      </w:pPr>
      <w:r>
        <w:rPr>
          <w:b w:val="0"/>
          <w:i w:val="0"/>
          <w:sz w:val="22"/>
        </w:rPr>
        <w:t>—  December 2008 accounting degree and the financial crisis, exactly as spoken and no further detail.</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0:00–0:06</w:t>
            </w:r>
          </w:p>
        </w:tc>
        <w:tc>
          <w:tcPr>
            <w:tcW w:type="dxa" w:w="2333"/>
          </w:tcPr>
          <w:p>
            <w:pPr>
              <w:spacing w:after="40" w:line="252" w:lineRule="auto"/>
            </w:pPr>
            <w:r/>
            <w:r>
              <w:rPr>
                <w:sz w:val="16"/>
              </w:rPr>
              <w:t>“You look at your own CV and it makes sense to you, because you lived it.”</w:t>
            </w:r>
          </w:p>
        </w:tc>
        <w:tc>
          <w:tcPr>
            <w:tcW w:type="dxa" w:w="1325"/>
          </w:tcPr>
          <w:p>
            <w:pPr>
              <w:spacing w:after="40" w:line="252" w:lineRule="auto"/>
            </w:pPr>
            <w:r/>
            <w:r>
              <w:rPr>
                <w:sz w:val="16"/>
              </w:rPr>
              <w:t>Recognition, from inside the viewer's head.</w:t>
            </w:r>
          </w:p>
        </w:tc>
        <w:tc>
          <w:tcPr>
            <w:tcW w:type="dxa" w:w="1512"/>
          </w:tcPr>
          <w:p>
            <w:pPr>
              <w:spacing w:after="40" w:line="252" w:lineRule="auto"/>
            </w:pPr>
            <w:r/>
            <w:r>
              <w:rPr>
                <w:sz w:val="16"/>
              </w:rPr>
              <w:t>YOUR CAREER MAKES SENSE</w:t>
            </w:r>
          </w:p>
        </w:tc>
        <w:tc>
          <w:tcPr>
            <w:tcW w:type="dxa" w:w="1584"/>
          </w:tcPr>
          <w:p>
            <w:pPr>
              <w:spacing w:after="40" w:line="252" w:lineRule="auto"/>
            </w:pPr>
            <w:r/>
            <w:r>
              <w:rPr>
                <w:sz w:val="16"/>
              </w:rPr>
              <w:t>Open on Temidayo, direct to camera. No title card. NO cat imagery.</w:t>
            </w:r>
          </w:p>
        </w:tc>
        <w:tc>
          <w:tcPr>
            <w:tcW w:type="dxa" w:w="1325"/>
          </w:tcPr>
          <w:p>
            <w:pPr>
              <w:spacing w:after="40" w:line="252" w:lineRule="auto"/>
            </w:pPr>
            <w:r/>
            <w:r>
              <w:rPr>
                <w:sz w:val="16"/>
              </w:rPr>
              <w:t>None yet.</w:t>
            </w:r>
          </w:p>
        </w:tc>
        <w:tc>
          <w:tcPr>
            <w:tcW w:type="dxa" w:w="1397"/>
          </w:tcPr>
          <w:p>
            <w:pPr>
              <w:spacing w:after="40" w:line="252" w:lineRule="auto"/>
            </w:pPr>
            <w:r/>
            <w:r>
              <w:rPr>
                <w:sz w:val="16"/>
              </w:rPr>
              <w:t>The viewer is described accurately in one sentence.</w:t>
            </w:r>
          </w:p>
        </w:tc>
      </w:tr>
      <w:tr>
        <w:tc>
          <w:tcPr>
            <w:tcW w:type="dxa" w:w="749"/>
          </w:tcPr>
          <w:p>
            <w:pPr>
              <w:spacing w:after="40" w:line="252" w:lineRule="auto"/>
            </w:pPr>
            <w:r/>
            <w:r>
              <w:rPr>
                <w:sz w:val="16"/>
              </w:rPr>
              <w:t>0:06–0:16</w:t>
            </w:r>
          </w:p>
        </w:tc>
        <w:tc>
          <w:tcPr>
            <w:tcW w:type="dxa" w:w="2333"/>
          </w:tcPr>
          <w:p>
            <w:pPr>
              <w:spacing w:after="40" w:line="252" w:lineRule="auto"/>
            </w:pPr>
            <w:r/>
            <w:r>
              <w:rPr>
                <w:sz w:val="16"/>
              </w:rPr>
              <w:t>“Then someone asks you to walk them through it, and halfway into the second job you can hear it — it is not landing.”</w:t>
            </w:r>
          </w:p>
        </w:tc>
        <w:tc>
          <w:tcPr>
            <w:tcW w:type="dxa" w:w="1325"/>
          </w:tcPr>
          <w:p>
            <w:pPr>
              <w:spacing w:after="40" w:line="252" w:lineRule="auto"/>
            </w:pPr>
            <w:r/>
            <w:r>
              <w:rPr>
                <w:sz w:val="16"/>
              </w:rPr>
              <w:t>The exact moment the problem shows up.</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This is the doorway.</w:t>
            </w:r>
          </w:p>
        </w:tc>
        <w:tc>
          <w:tcPr>
            <w:tcW w:type="dxa" w:w="1325"/>
          </w:tcPr>
          <w:p>
            <w:pPr>
              <w:spacing w:after="40" w:line="252" w:lineRule="auto"/>
            </w:pPr>
            <w:r/>
            <w:r>
              <w:rPr>
                <w:sz w:val="16"/>
              </w:rPr>
              <w:t>—</w:t>
            </w:r>
          </w:p>
        </w:tc>
        <w:tc>
          <w:tcPr>
            <w:tcW w:type="dxa" w:w="1397"/>
          </w:tcPr>
          <w:p>
            <w:pPr>
              <w:spacing w:after="40" w:line="252" w:lineRule="auto"/>
            </w:pPr>
            <w:r/>
            <w:r>
              <w:rPr>
                <w:sz w:val="16"/>
              </w:rPr>
              <w:t>The viewer recognises a specific experience, not a topic.</w:t>
            </w:r>
          </w:p>
        </w:tc>
      </w:tr>
      <w:tr>
        <w:tc>
          <w:tcPr>
            <w:tcW w:type="dxa" w:w="749"/>
          </w:tcPr>
          <w:p>
            <w:pPr>
              <w:spacing w:after="40" w:line="252" w:lineRule="auto"/>
            </w:pPr>
            <w:r/>
            <w:r>
              <w:rPr>
                <w:sz w:val="16"/>
              </w:rPr>
              <w:t>0:16–0:22</w:t>
            </w:r>
          </w:p>
        </w:tc>
        <w:tc>
          <w:tcPr>
            <w:tcW w:type="dxa" w:w="2333"/>
          </w:tcPr>
          <w:p>
            <w:pPr>
              <w:spacing w:after="40" w:line="252" w:lineRule="auto"/>
            </w:pPr>
            <w:r/>
            <w:r>
              <w:rPr>
                <w:sz w:val="16"/>
              </w:rPr>
              <w:t>“A senior-manager friend at EY used to joke that I was a cat with nine lives.”</w:t>
            </w:r>
          </w:p>
        </w:tc>
        <w:tc>
          <w:tcPr>
            <w:tcW w:type="dxa" w:w="1325"/>
          </w:tcPr>
          <w:p>
            <w:pPr>
              <w:spacing w:after="40" w:line="252" w:lineRule="auto"/>
            </w:pPr>
            <w:r/>
            <w:r>
              <w:rPr>
                <w:sz w:val="16"/>
              </w:rPr>
              <w:t>Lived proof; a real remark, not a claim.</w:t>
            </w:r>
          </w:p>
        </w:tc>
        <w:tc>
          <w:tcPr>
            <w:tcW w:type="dxa" w:w="1512"/>
          </w:tcPr>
          <w:p>
            <w:pPr>
              <w:spacing w:after="40" w:line="252" w:lineRule="auto"/>
            </w:pPr>
            <w:r/>
            <w:r>
              <w:rPr>
                <w:sz w:val="16"/>
              </w:rPr>
              <w:t>—</w:t>
            </w:r>
          </w:p>
        </w:tc>
        <w:tc>
          <w:tcPr>
            <w:tcW w:type="dxa" w:w="1584"/>
          </w:tcPr>
          <w:p>
            <w:pPr>
              <w:spacing w:after="40" w:line="252" w:lineRule="auto"/>
            </w:pPr>
            <w:r/>
            <w:r>
              <w:rPr>
                <w:sz w:val="16"/>
              </w:rPr>
              <w:t>No cat imagery. Restrained text only if anything at all.</w:t>
            </w:r>
          </w:p>
        </w:tc>
        <w:tc>
          <w:tcPr>
            <w:tcW w:type="dxa" w:w="1325"/>
          </w:tcPr>
          <w:p>
            <w:pPr>
              <w:spacing w:after="40" w:line="252" w:lineRule="auto"/>
            </w:pPr>
            <w:r/>
            <w:r>
              <w:rPr>
                <w:sz w:val="16"/>
              </w:rPr>
              <w:t>A real thing a colleague said about her real career.</w:t>
            </w:r>
          </w:p>
        </w:tc>
        <w:tc>
          <w:tcPr>
            <w:tcW w:type="dxa" w:w="1397"/>
          </w:tcPr>
          <w:p>
            <w:pPr>
              <w:spacing w:after="40" w:line="252" w:lineRule="auto"/>
            </w:pPr>
            <w:r/>
            <w:r>
              <w:rPr>
                <w:sz w:val="16"/>
              </w:rPr>
              <w:t>The viewer sees she has the same problem.</w:t>
            </w:r>
          </w:p>
        </w:tc>
      </w:tr>
      <w:tr>
        <w:tc>
          <w:tcPr>
            <w:tcW w:type="dxa" w:w="749"/>
          </w:tcPr>
          <w:p>
            <w:pPr>
              <w:spacing w:after="40" w:line="252" w:lineRule="auto"/>
            </w:pPr>
            <w:r/>
            <w:r>
              <w:rPr>
                <w:sz w:val="16"/>
              </w:rPr>
              <w:t>0:22–0:33</w:t>
            </w:r>
          </w:p>
        </w:tc>
        <w:tc>
          <w:tcPr>
            <w:tcW w:type="dxa" w:w="2333"/>
          </w:tcPr>
          <w:p>
            <w:pPr>
              <w:spacing w:after="40" w:line="252" w:lineRule="auto"/>
            </w:pPr>
            <w:r/>
            <w:r>
              <w:rPr>
                <w:sz w:val="16"/>
              </w:rPr>
              <w:t>“The career was not the problem. The explanation was. So let me show you how I learned to explain mine, and then we will do yours.”</w:t>
            </w:r>
          </w:p>
        </w:tc>
        <w:tc>
          <w:tcPr>
            <w:tcW w:type="dxa" w:w="1325"/>
          </w:tcPr>
          <w:p>
            <w:pPr>
              <w:spacing w:after="40" w:line="252" w:lineRule="auto"/>
            </w:pPr>
            <w:r/>
            <w:r>
              <w:rPr>
                <w:sz w:val="16"/>
              </w:rPr>
              <w:t>The turn, and the offer.</w:t>
            </w:r>
          </w:p>
        </w:tc>
        <w:tc>
          <w:tcPr>
            <w:tcW w:type="dxa" w:w="1512"/>
          </w:tcPr>
          <w:p>
            <w:pPr>
              <w:spacing w:after="40" w:line="252" w:lineRule="auto"/>
            </w:pPr>
            <w:r/>
            <w:r>
              <w:rPr>
                <w:sz w:val="16"/>
              </w:rPr>
              <w:t>3 STEPS</w:t>
            </w:r>
          </w:p>
        </w:tc>
        <w:tc>
          <w:tcPr>
            <w:tcW w:type="dxa" w:w="1584"/>
          </w:tcPr>
          <w:p>
            <w:pPr>
              <w:spacing w:after="40" w:line="252" w:lineRule="auto"/>
            </w:pPr>
            <w:r/>
            <w:r>
              <w:rPr>
                <w:sz w:val="16"/>
              </w:rPr>
              <w:t>Return cleanly to Temidayo.</w:t>
            </w:r>
          </w:p>
        </w:tc>
        <w:tc>
          <w:tcPr>
            <w:tcW w:type="dxa" w:w="1325"/>
          </w:tcPr>
          <w:p>
            <w:pPr>
              <w:spacing w:after="40" w:line="252" w:lineRule="auto"/>
            </w:pPr>
            <w:r/>
            <w:r>
              <w:rPr>
                <w:sz w:val="16"/>
              </w:rPr>
              <w:t>Her own relearning becomes the viewer's method.</w:t>
            </w:r>
          </w:p>
        </w:tc>
        <w:tc>
          <w:tcPr>
            <w:tcW w:type="dxa" w:w="1397"/>
          </w:tcPr>
          <w:p>
            <w:pPr>
              <w:spacing w:after="40" w:line="252" w:lineRule="auto"/>
            </w:pPr>
            <w:r/>
            <w:r>
              <w:rPr>
                <w:sz w:val="16"/>
              </w:rPr>
              <w:t>Payoff explicit by 33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look at your own CV and it makes sense to you, because you lived it.</w:t>
      </w:r>
    </w:p>
    <w:p>
      <w:pPr>
        <w:spacing w:before="0" w:after="24" w:line="250" w:lineRule="auto"/>
        <w:keepLines w:val="1"/>
      </w:pPr>
      <w:r>
        <w:rPr>
          <w:b w:val="0"/>
          <w:i w:val="0"/>
          <w:sz w:val="21"/>
        </w:rPr>
        <w:t>On-screen hook:    YOUR CAREER MAKES SENSE</w:t>
      </w:r>
    </w:p>
    <w:p>
      <w:pPr>
        <w:spacing w:before="0" w:after="24" w:line="250" w:lineRule="auto"/>
        <w:keepLines w:val="1"/>
      </w:pPr>
      <w:r>
        <w:rPr>
          <w:b w:val="0"/>
          <w:i w:val="0"/>
          <w:sz w:val="21"/>
        </w:rPr>
        <w:t>Visual / editor:   Direct to camera, then the chronology-versus-portability contrast. No résumé-scroll animation, no timeline gag, no cat imagery.</w:t>
      </w:r>
    </w:p>
    <w:p>
      <w:pPr>
        <w:spacing w:before="0" w:after="24" w:line="250" w:lineRule="auto"/>
        <w:keepLines w:val="1"/>
      </w:pPr>
      <w:r>
        <w:rPr>
          <w:b w:val="0"/>
          <w:i w:val="0"/>
          <w:sz w:val="21"/>
        </w:rPr>
        <w:t>Trust beat:        The cat-with-nine-lives joke, her December 2008 start, and her own admission that she used to explain it badly.</w:t>
      </w:r>
    </w:p>
    <w:p>
      <w:pPr>
        <w:spacing w:before="0" w:after="24" w:line="250" w:lineRule="auto"/>
        <w:keepLines w:val="1"/>
      </w:pPr>
      <w:r>
        <w:rPr>
          <w:b w:val="0"/>
          <w:i w:val="0"/>
          <w:sz w:val="21"/>
        </w:rPr>
        <w:t>Viewer payoff:     A three-sentence method for explaining a career change, by 0:33.</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Eleven markers, mapping to the existing eleven-slide deck in order. The v5.0 script was mapped against the deck and every slide still serves the new story, so NO slide text was changed in this rebuild.</w:t>
      </w:r>
    </w:p>
    <w:p>
      <w:pPr>
        <w:spacing w:before="0" w:after="18" w:line="250" w:lineRule="auto"/>
        <w:keepLines w:val="1"/>
      </w:pPr>
      <w:r>
        <w:rPr>
          <w:b w:val="0"/>
          <w:i w:val="0"/>
          <w:sz w:val="21"/>
        </w:rPr>
        <w:t>Marker 1   →  Slide 1   Career Path</w:t>
      </w:r>
    </w:p>
    <w:p>
      <w:pPr>
        <w:spacing w:before="0" w:after="18" w:line="250" w:lineRule="auto"/>
        <w:keepLines w:val="1"/>
      </w:pPr>
      <w:r>
        <w:rPr>
          <w:b w:val="0"/>
          <w:i w:val="0"/>
          <w:sz w:val="21"/>
        </w:rPr>
        <w:t>Marker 2   →  Slide 2   Chronology / Portability</w:t>
      </w:r>
    </w:p>
    <w:p>
      <w:pPr>
        <w:spacing w:before="0" w:after="18" w:line="250" w:lineRule="auto"/>
        <w:keepLines w:val="1"/>
      </w:pPr>
      <w:r>
        <w:rPr>
          <w:b w:val="0"/>
          <w:i w:val="0"/>
          <w:sz w:val="21"/>
        </w:rPr>
        <w:t>Marker 3   →  Slide 3   1 Name the Chapters Briefly</w:t>
      </w:r>
    </w:p>
    <w:p>
      <w:pPr>
        <w:spacing w:before="0" w:after="18" w:line="250" w:lineRule="auto"/>
        <w:keepLines w:val="1"/>
      </w:pPr>
      <w:r>
        <w:rPr>
          <w:b w:val="0"/>
          <w:i w:val="0"/>
          <w:sz w:val="21"/>
        </w:rPr>
        <w:t>Marker 4   →  Slide 4   2 Find the Repeated Work</w:t>
      </w:r>
    </w:p>
    <w:p>
      <w:pPr>
        <w:spacing w:before="0" w:after="18" w:line="250" w:lineRule="auto"/>
        <w:keepLines w:val="1"/>
      </w:pPr>
      <w:r>
        <w:rPr>
          <w:b w:val="0"/>
          <w:i w:val="0"/>
          <w:sz w:val="21"/>
        </w:rPr>
        <w:t>Marker 5   →  Slide 5   Look Beneath the Nouns</w:t>
      </w:r>
    </w:p>
    <w:p>
      <w:pPr>
        <w:spacing w:before="0" w:after="18" w:line="250" w:lineRule="auto"/>
        <w:keepLines w:val="1"/>
      </w:pPr>
      <w:r>
        <w:rPr>
          <w:b w:val="0"/>
          <w:i w:val="0"/>
          <w:sz w:val="21"/>
        </w:rPr>
        <w:t>Marker 6   →  Slide 6   3 Explain the Direction</w:t>
      </w:r>
    </w:p>
    <w:p>
      <w:pPr>
        <w:spacing w:before="0" w:after="18" w:line="250" w:lineRule="auto"/>
        <w:keepLines w:val="1"/>
      </w:pPr>
      <w:r>
        <w:rPr>
          <w:b w:val="0"/>
          <w:i w:val="0"/>
          <w:sz w:val="21"/>
        </w:rPr>
        <w:t>Marker 7   →  Slide 7   Three-Sentence Structure</w:t>
      </w:r>
    </w:p>
    <w:p>
      <w:pPr>
        <w:spacing w:before="0" w:after="18" w:line="250" w:lineRule="auto"/>
        <w:keepLines w:val="1"/>
      </w:pPr>
      <w:r>
        <w:rPr>
          <w:b w:val="0"/>
          <w:i w:val="0"/>
          <w:sz w:val="21"/>
        </w:rPr>
        <w:t>Marker 8   →  Slide 8   Do Not Invent a Perfect Plan</w:t>
      </w:r>
    </w:p>
    <w:p>
      <w:pPr>
        <w:spacing w:before="0" w:after="18" w:line="250" w:lineRule="auto"/>
        <w:keepLines w:val="1"/>
      </w:pPr>
      <w:r>
        <w:rPr>
          <w:b w:val="0"/>
          <w:i w:val="0"/>
          <w:sz w:val="21"/>
        </w:rPr>
        <w:t>Marker 9   →  Slide 9   Explanation Test</w:t>
      </w:r>
    </w:p>
    <w:p>
      <w:pPr>
        <w:spacing w:before="0" w:after="18" w:line="250" w:lineRule="auto"/>
        <w:keepLines w:val="1"/>
      </w:pPr>
      <w:r>
        <w:rPr>
          <w:b w:val="0"/>
          <w:i w:val="0"/>
          <w:sz w:val="21"/>
        </w:rPr>
        <w:t>Marker 10  →  Slide 10  Career Evidence Starter</w:t>
      </w:r>
    </w:p>
    <w:p>
      <w:pPr>
        <w:spacing w:before="0" w:after="18" w:line="250" w:lineRule="auto"/>
        <w:keepLines w:val="1"/>
      </w:pPr>
      <w:r>
        <w:rPr>
          <w:b w:val="0"/>
          <w:i w:val="0"/>
          <w:sz w:val="21"/>
        </w:rPr>
        <w:t>Marker 11  →  Slide 11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26 reveal frames, inspected from the file. Reveal visuals unchanged.</w:t>
      </w:r>
    </w:p>
    <w:p>
      <w:pPr>
        <w:spacing w:before="0" w:after="18" w:line="250" w:lineRule="auto"/>
        <w:keepLines w:val="1"/>
      </w:pPr>
      <w:r>
        <w:rPr>
          <w:b w:val="0"/>
          <w:i w:val="0"/>
          <w:sz w:val="21"/>
        </w:rPr>
        <w:t>Slide 1   →  reveal frames 1–4      (4)</w:t>
      </w:r>
    </w:p>
    <w:p>
      <w:pPr>
        <w:spacing w:before="0" w:after="18" w:line="250" w:lineRule="auto"/>
        <w:keepLines w:val="1"/>
      </w:pPr>
      <w:r>
        <w:rPr>
          <w:b w:val="0"/>
          <w:i w:val="0"/>
          <w:sz w:val="21"/>
        </w:rPr>
        <w:t>Slide 2   →  reveal frames 5–6      (2)</w:t>
      </w:r>
    </w:p>
    <w:p>
      <w:pPr>
        <w:spacing w:before="0" w:after="18" w:line="250" w:lineRule="auto"/>
        <w:keepLines w:val="1"/>
      </w:pPr>
      <w:r>
        <w:rPr>
          <w:b w:val="0"/>
          <w:i w:val="0"/>
          <w:sz w:val="21"/>
        </w:rPr>
        <w:t>Slide 3   →  reveal frames 7        (1)</w:t>
      </w:r>
    </w:p>
    <w:p>
      <w:pPr>
        <w:spacing w:before="0" w:after="18" w:line="250" w:lineRule="auto"/>
        <w:keepLines w:val="1"/>
      </w:pPr>
      <w:r>
        <w:rPr>
          <w:b w:val="0"/>
          <w:i w:val="0"/>
          <w:sz w:val="21"/>
        </w:rPr>
        <w:t>Slide 4   →  reveal frames 8–12     (5)</w:t>
      </w:r>
    </w:p>
    <w:p>
      <w:pPr>
        <w:spacing w:before="0" w:after="18" w:line="250" w:lineRule="auto"/>
        <w:keepLines w:val="1"/>
      </w:pPr>
      <w:r>
        <w:rPr>
          <w:b w:val="0"/>
          <w:i w:val="0"/>
          <w:sz w:val="21"/>
        </w:rPr>
        <w:t>Slide 5   →  reveal frames 13–14    (2)</w:t>
      </w:r>
    </w:p>
    <w:p>
      <w:pPr>
        <w:spacing w:before="0" w:after="18" w:line="250" w:lineRule="auto"/>
        <w:keepLines w:val="1"/>
      </w:pPr>
      <w:r>
        <w:rPr>
          <w:b w:val="0"/>
          <w:i w:val="0"/>
          <w:sz w:val="21"/>
        </w:rPr>
        <w:t>Slide 6   →  reveal frames 15–17    (3)</w:t>
      </w:r>
    </w:p>
    <w:p>
      <w:pPr>
        <w:spacing w:before="0" w:after="18" w:line="250" w:lineRule="auto"/>
        <w:keepLines w:val="1"/>
      </w:pPr>
      <w:r>
        <w:rPr>
          <w:b w:val="0"/>
          <w:i w:val="0"/>
          <w:sz w:val="21"/>
        </w:rPr>
        <w:t>Slide 7   →  reveal frames 18–20    (3)</w:t>
      </w:r>
    </w:p>
    <w:p>
      <w:pPr>
        <w:spacing w:before="0" w:after="18" w:line="250" w:lineRule="auto"/>
        <w:keepLines w:val="1"/>
      </w:pPr>
      <w:r>
        <w:rPr>
          <w:b w:val="0"/>
          <w:i w:val="0"/>
          <w:sz w:val="21"/>
        </w:rPr>
        <w:t>Slide 8   →  reveal frames 21       (1)</w:t>
      </w:r>
    </w:p>
    <w:p>
      <w:pPr>
        <w:spacing w:before="0" w:after="18" w:line="250" w:lineRule="auto"/>
        <w:keepLines w:val="1"/>
      </w:pPr>
      <w:r>
        <w:rPr>
          <w:b w:val="0"/>
          <w:i w:val="0"/>
          <w:sz w:val="21"/>
        </w:rPr>
        <w:t>Slide 9   →  reveal frames 22–24    (3)</w:t>
      </w:r>
    </w:p>
    <w:p>
      <w:pPr>
        <w:spacing w:before="0" w:after="18" w:line="250" w:lineRule="auto"/>
        <w:keepLines w:val="1"/>
      </w:pPr>
      <w:r>
        <w:rPr>
          <w:b w:val="0"/>
          <w:i w:val="0"/>
          <w:sz w:val="21"/>
        </w:rPr>
        <w:t>Slide 10  →  reveal frames 25       (1)</w:t>
      </w:r>
    </w:p>
    <w:p>
      <w:pPr>
        <w:spacing w:before="0" w:after="18" w:line="250" w:lineRule="auto"/>
        <w:keepLines w:val="1"/>
      </w:pPr>
      <w:r>
        <w:rPr>
          <w:b w:val="0"/>
          <w:i w:val="0"/>
          <w:sz w:val="21"/>
        </w:rPr>
        <w:t>Slide 11  →  reveal frames 26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1, the four chapters as chronology;</w:t>
      </w:r>
    </w:p>
    <w:p>
      <w:pPr>
        <w:spacing w:before="0" w:after="24" w:line="250" w:lineRule="auto"/>
        <w:keepLines w:val="1"/>
      </w:pPr>
      <w:r>
        <w:rPr>
          <w:b w:val="0"/>
          <w:i w:val="0"/>
          <w:sz w:val="22"/>
        </w:rPr>
        <w:t>—  slide 2, chronology beside portability;</w:t>
      </w:r>
    </w:p>
    <w:p>
      <w:pPr>
        <w:spacing w:before="0" w:after="24" w:line="250" w:lineRule="auto"/>
        <w:keepLines w:val="1"/>
      </w:pPr>
      <w:r>
        <w:rPr>
          <w:b w:val="0"/>
          <w:i w:val="0"/>
          <w:sz w:val="22"/>
        </w:rPr>
        <w:t>—  slide 5, the nouns that hide the work;</w:t>
      </w:r>
    </w:p>
    <w:p>
      <w:pPr>
        <w:spacing w:before="0" w:after="24" w:line="250" w:lineRule="auto"/>
        <w:keepLines w:val="1"/>
      </w:pPr>
      <w:r>
        <w:rPr>
          <w:b w:val="0"/>
          <w:i w:val="0"/>
          <w:sz w:val="22"/>
        </w:rPr>
        <w:t>—  slide 7, the three sentence stems;</w:t>
      </w:r>
    </w:p>
    <w:p>
      <w:pPr>
        <w:spacing w:before="0" w:after="24" w:line="250" w:lineRule="auto"/>
        <w:keepLines w:val="1"/>
      </w:pPr>
      <w:r>
        <w:rPr>
          <w:b w:val="0"/>
          <w:i w:val="0"/>
          <w:sz w:val="22"/>
        </w:rPr>
        <w:t>—  slide 10, the real Career Evidence Starter artifact.</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THE CAT-WITH-NINE-LIVES FACT IS BOUNDED. A senior-manager friend at EY used to joke that Temidayo was a cat with nine lives, because her career kept turning up somewhere unrelated. That is the entire approved fact. Do not invent the original conversation, do not add dialogue for the friend, and use NO cat imagery anywhere — edit, graphics or thumbnail.</w:t>
      </w:r>
    </w:p>
    <w:p>
      <w:pPr>
        <w:spacing w:before="0" w:after="48" w:line="250" w:lineRule="auto"/>
        <w:shd w:val="clear" w:fill="F3F0E8"/>
        <w:keepLines w:val="1"/>
      </w:pPr>
      <w:r>
        <w:rPr>
          <w:b/>
          <w:i w:val="0"/>
          <w:color w:val="9B2C10"/>
          <w:sz w:val="22"/>
        </w:rPr>
        <w:t>THE HONESTY BOUNDARY IS THE POINT OF THE VIDEO. Never imply every move was planned, and never imply everything transfers. The script says both out loud, more than once. Do not trim either.</w:t>
      </w:r>
    </w:p>
    <w:p>
      <w:pPr>
        <w:spacing w:before="0" w:after="18" w:line="250" w:lineRule="auto"/>
        <w:keepLines w:val="1"/>
      </w:pPr>
      <w:r>
        <w:rPr>
          <w:b w:val="0"/>
          <w:i w:val="0"/>
          <w:sz w:val="22"/>
        </w:rPr>
        <w:t>—  2008 financial-crisis context stays exactly as spoken;</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claim that the chapters are one profession;</w:t>
      </w:r>
    </w:p>
    <w:p>
      <w:pPr>
        <w:spacing w:before="0" w:after="18" w:line="250" w:lineRule="auto"/>
        <w:keepLines w:val="1"/>
      </w:pPr>
      <w:r>
        <w:rPr>
          <w:b w:val="0"/>
          <w:i w:val="0"/>
          <w:sz w:val="22"/>
        </w:rPr>
        <w:t>—  no forced connection the evidence does not support;</w:t>
      </w:r>
    </w:p>
    <w:p>
      <w:pPr>
        <w:spacing w:before="0" w:after="18" w:line="250" w:lineRule="auto"/>
        <w:keepLines w:val="1"/>
      </w:pPr>
      <w:r>
        <w:rPr>
          <w:b w:val="0"/>
          <w:i w:val="0"/>
          <w:sz w:val="22"/>
        </w:rPr>
        <w:t>—  permitted evidence only in the written exercise.</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cat imagery of any kind;        —  stock office B-roll;</w:t>
      </w:r>
    </w:p>
    <w:p>
      <w:pPr>
        <w:spacing w:before="0" w:after="18" w:line="250" w:lineRule="auto"/>
        <w:keepLines w:val="1"/>
      </w:pPr>
      <w:r>
        <w:rPr>
          <w:b w:val="0"/>
          <w:i w:val="0"/>
          <w:sz w:val="22"/>
        </w:rPr>
        <w:t>—  résumé-scroll animations;        —  employer logos;</w:t>
      </w:r>
    </w:p>
    <w:p>
      <w:pPr>
        <w:spacing w:before="0" w:after="18" w:line="250" w:lineRule="auto"/>
        <w:keepLines w:val="1"/>
      </w:pPr>
      <w:r>
        <w:rPr>
          <w:b w:val="0"/>
          <w:i w:val="0"/>
          <w:sz w:val="22"/>
        </w:rPr>
        <w:t>—  timeline graphic gags;        —  fake shock expressions;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makes a nonlinear career look like a failure.</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Free Career Evidence Starter — https://temidayoafonja.com/career-evidence-starter</w:t>
      </w:r>
    </w:p>
    <w:p>
      <w:pPr>
        <w:spacing w:before="0" w:after="36" w:line="250" w:lineRule="auto"/>
        <w:keepLines w:val="1"/>
      </w:pPr>
      <w:r>
        <w:rPr>
          <w:b w:val="0"/>
          <w:i w:val="0"/>
          <w:sz w:val="22"/>
        </w:rPr>
        <w:t>It arrives after the identity bridge, so it reads as the next step rather than an advert. Keep that order.</w:t>
      </w:r>
    </w:p>
    <w:p>
      <w:pPr>
        <w:spacing w:before="0" w:after="36" w:line="250" w:lineRule="auto"/>
        <w:keepLines w:val="1"/>
      </w:pPr>
      <w:r>
        <w:rPr>
          <w:b w:val="0"/>
          <w:i w:val="0"/>
          <w:sz w:val="22"/>
        </w:rPr>
        <w:t>Use the direct public landing-page URL only. Do not expose a PDF link and do not restore Keep the Proof.</w:t>
      </w:r>
    </w:p>
    <w:p>
      <w:pPr>
        <w:spacing w:before="0" w:after="36" w:line="250" w:lineRule="auto"/>
        <w:keepLines w:val="1"/>
      </w:pPr>
      <w:r>
        <w:rPr>
          <w:b/>
          <w:i w:val="0"/>
          <w:sz w:val="22"/>
        </w:rPr>
        <w:t>Watch next: Video 5 — Should I Make an Internal Move? 3 Questions to Decide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want you to stop apologising for a career that actually makes sense — and to be able to say what it built, plainly, without inventing a plan you never had.”</w:t>
      </w:r>
    </w:p>
    <w:p>
      <w:pPr>
        <w:spacing w:before="0" w:after="48" w:line="250" w:lineRule="auto"/>
        <w:keepLines w:val="1"/>
      </w:pPr>
      <w:r>
        <w:rPr>
          <w:b w:val="0"/>
          <w:i w:val="0"/>
          <w:sz w:val="22"/>
        </w:rPr>
        <w:t>It sits at the end of the Explanation Test section, after the honest limits about what this cannot do, and before the Starter.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was handing the person across the table a pile of parts and asking them to assemble it.” · “Context explains a transition. It is not an apology.” · “A forced story is worse than a messy one.” · “Out loud, not in your head.” · “If one of your chapters does not fit a tidy progression, leave it untidy.”</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11 notes parts rewritten for the v5.0 narration.</w:t>
      </w:r>
    </w:p>
    <w:p>
      <w:pPr>
        <w:spacing w:before="0" w:after="18" w:line="250" w:lineRule="auto"/>
        <w:keepLines w:val="1"/>
      </w:pPr>
      <w:r>
        <w:rPr>
          <w:b w:val="0"/>
          <w:i w:val="0"/>
          <w:sz w:val="22"/>
        </w:rPr>
        <w:t>—  Reveal deck: 26 notes parts rewritten.</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working estimates at 145 words per minute for the 1,548-word script, about 10:40.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