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 w:line="245" w:lineRule="auto"/>
      </w:pPr>
      <w:r>
        <w:rPr>
          <w:b/>
          <w:i w:val="0"/>
          <w:color w:val="9B2C10"/>
          <w:sz w:val="44"/>
        </w:rPr>
        <w:t>EDITOR ONLY</w:t>
      </w:r>
    </w:p>
    <w:p>
      <w:pPr>
        <w:spacing w:before="0" w:after="10" w:line="245" w:lineRule="auto"/>
      </w:pPr>
      <w:r>
        <w:rPr>
          <w:b/>
          <w:i w:val="0"/>
          <w:caps/>
          <w:color w:val="8A6D1E"/>
          <w:sz w:val="24"/>
        </w:rPr>
        <w:t>VIDEO 5  ·  v5.0 BELONGING + IDENTITY</w:t>
      </w:r>
    </w:p>
    <w:p>
      <w:pPr>
        <w:spacing w:before="0" w:after="32" w:line="245" w:lineRule="auto"/>
      </w:pPr>
      <w:r>
        <w:rPr>
          <w:b/>
          <w:i w:val="0"/>
          <w:color w:val="0F2346"/>
          <w:sz w:val="40"/>
        </w:rPr>
        <w:t>Should I Make an Internal Move? 3 Questions to Decide</w:t>
      </w:r>
    </w:p>
    <w:p>
      <w:pPr>
        <w:spacing w:before="0" w:after="84" w:line="245" w:lineRule="auto"/>
        <w:shd w:val="clear" w:fill="F3F0E8"/>
      </w:pPr>
      <w:r>
        <w:rPr>
          <w:b w:val="0"/>
          <w:i/>
          <w:color w:val="5A6B82"/>
          <w:sz w:val="22"/>
        </w:rPr>
        <w:t>This document is for the editor. It is NOT Temidayo's teleprompter and must not be placed on the recording screen.</w:t>
      </w:r>
    </w:p>
    <w:p>
      <w:pPr>
        <w:spacing w:before="72" w:after="42" w:line="245" w:lineRule="auto"/>
        <w:keepLines w:val="1"/>
        <w:keepNext w:val="1"/>
      </w:pPr>
      <w:r>
        <w:rPr>
          <w:b/>
          <w:i w:val="0"/>
          <w:color w:val="0F2346"/>
          <w:sz w:val="28"/>
        </w:rPr>
        <w:t>1.  Locked metadata</w:t>
      </w:r>
    </w:p>
    <w:p>
      <w:pPr>
        <w:spacing w:before="0" w:after="26" w:line="245" w:lineRule="auto"/>
        <w:keepLines w:val="1"/>
      </w:pPr>
      <w:r>
        <w:rPr>
          <w:b w:val="0"/>
          <w:i w:val="0"/>
          <w:sz w:val="22"/>
        </w:rPr>
        <w:t>Title:                   Should I Make an Internal Move? 3 Questions to Decide</w:t>
      </w:r>
    </w:p>
    <w:p>
      <w:pPr>
        <w:spacing w:before="0" w:after="26" w:line="245" w:lineRule="auto"/>
        <w:keepLines w:val="1"/>
      </w:pPr>
      <w:r>
        <w:rPr>
          <w:b w:val="0"/>
          <w:i w:val="0"/>
          <w:sz w:val="22"/>
        </w:rPr>
        <w:t>Thumbnail:               YOU MAY NOT NEED TO LEAVE</w:t>
      </w:r>
    </w:p>
    <w:p>
      <w:pPr>
        <w:spacing w:before="0" w:after="26" w:line="245" w:lineRule="auto"/>
        <w:keepLines w:val="1"/>
      </w:pPr>
      <w:r>
        <w:rPr>
          <w:b w:val="0"/>
          <w:i w:val="0"/>
          <w:sz w:val="22"/>
        </w:rPr>
        <w:t>Primary search phrase:   should I make an internal move</w:t>
      </w:r>
    </w:p>
    <w:p>
      <w:pPr>
        <w:spacing w:before="0" w:after="26" w:line="245" w:lineRule="auto"/>
        <w:keepLines w:val="1"/>
      </w:pPr>
      <w:r>
        <w:rPr>
          <w:b w:val="0"/>
          <w:i w:val="0"/>
          <w:sz w:val="22"/>
        </w:rPr>
        <w:t>Primary CTA:             Career Decision Evidence Check</w:t>
      </w:r>
    </w:p>
    <w:p>
      <w:pPr>
        <w:spacing w:before="0" w:after="26" w:line="245" w:lineRule="auto"/>
        <w:keepLines w:val="1"/>
      </w:pPr>
      <w:r>
        <w:rPr>
          <w:b w:val="0"/>
          <w:i w:val="0"/>
          <w:sz w:val="22"/>
        </w:rPr>
        <w:t>CTA URL:                 https://temidayoafonja.com/career-decisions</w:t>
      </w:r>
    </w:p>
    <w:p>
      <w:pPr>
        <w:spacing w:before="0" w:after="26" w:line="245" w:lineRule="auto"/>
        <w:keepLines w:val="1"/>
      </w:pPr>
      <w:r>
        <w:rPr>
          <w:b w:val="0"/>
          <w:i w:val="0"/>
          <w:sz w:val="22"/>
        </w:rPr>
        <w:t>CTA production gate:     SATISFIED</w:t>
      </w:r>
    </w:p>
    <w:p>
      <w:pPr>
        <w:spacing w:before="0" w:after="26" w:line="245" w:lineRule="auto"/>
        <w:keepLines w:val="1"/>
      </w:pPr>
      <w:r>
        <w:rPr>
          <w:b w:val="0"/>
          <w:i w:val="0"/>
          <w:sz w:val="22"/>
        </w:rPr>
        <w:t>Watch next:              Video 6 — Are You Growing—or Just Being Given More Work?</w:t>
      </w:r>
    </w:p>
    <w:p>
      <w:pPr>
        <w:spacing w:before="0" w:after="26" w:line="245" w:lineRule="auto"/>
        <w:keepLines w:val="1"/>
      </w:pPr>
      <w:r>
        <w:rPr>
          <w:b w:val="0"/>
          <w:i w:val="0"/>
          <w:sz w:val="22"/>
        </w:rPr>
        <w:t>Memory device:           The three questions. No acronym, no second framework.</w:t>
      </w:r>
    </w:p>
    <w:p>
      <w:pPr>
        <w:spacing w:before="0" w:after="32" w:line="245" w:lineRule="auto"/>
        <w:keepLines w:val="1"/>
      </w:pPr>
      <w:r>
        <w:rPr>
          <w:b/>
          <w:i w:val="0"/>
          <w:color w:val="9B2C10"/>
          <w:sz w:val="22"/>
        </w:rPr>
        <w:t>Do not add CAR — it belongs to Video 6. Do not add the Career Evidence 3 Cs, the Field Kit, Keep the Proof or the Career Evidence Starter to this video.</w:t>
      </w:r>
    </w:p>
    <w:p>
      <w:pPr>
        <w:spacing w:before="0" w:after="32" w:line="245" w:lineRule="auto"/>
        <w:keepLines w:val="1"/>
      </w:pPr>
      <w:r>
        <w:rPr>
          <w:b/>
          <w:i w:val="0"/>
          <w:color w:val="9B2C10"/>
          <w:sz w:val="22"/>
        </w:rPr>
        <w:t>Do not name the employer in the maternity-return proof, anywhere, ever.</w:t>
      </w:r>
    </w:p>
    <w:p>
      <w:pPr>
        <w:spacing w:before="72" w:after="42" w:line="245" w:lineRule="auto"/>
        <w:keepLines w:val="1"/>
        <w:keepNext w:val="1"/>
      </w:pPr>
      <w:r>
        <w:rPr>
          <w:b/>
          <w:i w:val="0"/>
          <w:color w:val="0F2346"/>
          <w:sz w:val="28"/>
        </w:rPr>
        <w:t>2.  Identity promise for this video</w:t>
      </w:r>
    </w:p>
    <w:p>
      <w:pPr>
        <w:spacing w:before="0" w:after="42" w:line="245" w:lineRule="auto"/>
        <w:shd w:val="clear" w:fill="F3F0E8"/>
        <w:keepLines w:val="1"/>
      </w:pPr>
      <w:r>
        <w:rPr>
          <w:b/>
          <w:i w:val="0"/>
          <w:color w:val="0F2346"/>
          <w:sz w:val="22"/>
        </w:rPr>
        <w:t>Become the professional who can read any opportunity — inside or outside — for what it will actually build in them, instead of chasing the title and finding out afterwards.</w:t>
      </w:r>
    </w:p>
    <w:p>
      <w:pPr>
        <w:spacing w:before="0" w:after="42" w:line="245" w:lineRule="auto"/>
        <w:keepLines w:val="1"/>
      </w:pPr>
      <w:r>
        <w:rPr>
          <w:b w:val="0"/>
          <w:i w:val="0"/>
          <w:sz w:val="22"/>
        </w:rPr>
        <w:t>The last line of that section is the point: once the viewer can do this, they stop needing anyone to tell them whether an opportunity is good. Do not cut it for pace.</w:t>
      </w:r>
    </w:p>
    <w:p>
      <w:pPr>
        <w:spacing w:before="72" w:after="42" w:line="245" w:lineRule="auto"/>
        <w:keepLines w:val="1"/>
        <w:keepNext w:val="1"/>
      </w:pPr>
      <w:r>
        <w:rPr>
          <w:b/>
          <w:i w:val="0"/>
          <w:color w:val="0F2346"/>
          <w:sz w:val="28"/>
        </w:rPr>
        <w:t>3.  Who is watching, and what they are feeling</w:t>
      </w:r>
    </w:p>
    <w:p>
      <w:pPr>
        <w:spacing w:before="0" w:after="32" w:line="245" w:lineRule="auto"/>
      </w:pPr>
      <w:r>
        <w:rPr>
          <w:b w:val="0"/>
          <w:i w:val="0"/>
          <w:sz w:val="22"/>
        </w:rPr>
        <w:t>Someone who is doing well and has quietly started looking at job adverts. Nothing is wrong. They want different work and have decided, without quite examining it, that leaving is the only way to get it.</w:t>
      </w:r>
    </w:p>
    <w:p>
      <w:pPr>
        <w:spacing w:before="0" w:after="32" w:line="245" w:lineRule="auto"/>
      </w:pPr>
      <w:r>
        <w:rPr>
          <w:b w:val="0"/>
          <w:i w:val="0"/>
          <w:sz w:val="22"/>
        </w:rPr>
        <w:t>They are not unhappy enough to be in crisis and not settled enough to stop looking. That in-between is the doorway.</w:t>
      </w:r>
    </w:p>
    <w:p>
      <w:pPr>
        <w:spacing w:before="0" w:after="32" w:line="245" w:lineRule="auto"/>
      </w:pPr>
      <w:r>
        <w:rPr>
          <w:b w:val="0"/>
          <w:i w:val="0"/>
          <w:sz w:val="22"/>
        </w:rPr>
        <w:t>The opening names that exact state before offering anything.</w:t>
      </w:r>
    </w:p>
    <w:p>
      <w:pPr>
        <w:spacing w:before="72" w:after="42" w:line="245" w:lineRule="auto"/>
        <w:keepLines w:val="1"/>
        <w:keepNext w:val="1"/>
      </w:pPr>
      <w:r>
        <w:rPr>
          <w:b/>
          <w:i w:val="0"/>
          <w:color w:val="0F2346"/>
          <w:sz w:val="28"/>
        </w:rPr>
        <w:t>4.  Belonging and lived proof</w:t>
      </w:r>
    </w:p>
    <w:p>
      <w:pPr>
        <w:spacing w:before="0" w:after="32" w:line="245" w:lineRule="auto"/>
      </w:pPr>
      <w:r>
        <w:rPr>
          <w:b w:val="0"/>
          <w:i w:val="0"/>
          <w:sz w:val="22"/>
        </w:rPr>
        <w:t>Recognition first, then the reframe, then the lived proof, then the interpretation, and only then the three questions at about 1:18.</w:t>
      </w:r>
    </w:p>
    <w:p>
      <w:pPr>
        <w:spacing w:before="0" w:after="26" w:line="245" w:lineRule="auto"/>
        <w:keepLines w:val="1"/>
      </w:pPr>
      <w:r>
        <w:rPr>
          <w:b w:val="0"/>
          <w:i w:val="0"/>
          <w:sz w:val="22"/>
        </w:rPr>
        <w:t>—  About six months after Temidayo came back from maternity leave in one chapter of her career, her scope expanded beyond the original box of the role. More landed on her — and that is not the part that mattered.</w:t>
      </w:r>
    </w:p>
    <w:p>
      <w:pPr>
        <w:spacing w:before="0" w:after="26" w:line="245" w:lineRule="auto"/>
        <w:keepLines w:val="1"/>
      </w:pPr>
      <w:r>
        <w:rPr>
          <w:b w:val="0"/>
          <w:i w:val="0"/>
          <w:sz w:val="22"/>
        </w:rPr>
        <w:t>—  The meaningful part was being trusted with DIFFERENT work. Not more of the same work. That distinction is the whole video.</w:t>
      </w:r>
    </w:p>
    <w:p>
      <w:pPr>
        <w:spacing w:before="0" w:after="26" w:line="245" w:lineRule="auto"/>
        <w:keepLines w:val="1"/>
      </w:pPr>
      <w:r>
        <w:rPr>
          <w:b w:val="0"/>
          <w:i w:val="0"/>
          <w:sz w:val="22"/>
        </w:rPr>
        <w:t>—  Do NOT name the employer. Do NOT invent an assignment, a result, a promotion, a conversation or a metric. Do not use maternity or baby stock imagery and do not dramatise the reference.</w:t>
      </w:r>
    </w:p>
    <w:p>
      <w:pPr>
        <w:spacing w:before="0" w:after="26" w:line="245" w:lineRule="auto"/>
        <w:keepLines w:val="1"/>
      </w:pPr>
      <w:r>
        <w:rPr>
          <w:b w:val="0"/>
          <w:i w:val="0"/>
          <w:sz w:val="22"/>
        </w:rPr>
        <w:t>—  “That distinction took me a while to see, and once I saw it I could not unsee it.” That is the relearning beat. Keep it.</w:t>
      </w:r>
    </w:p>
    <w:p>
      <w:pPr>
        <w:spacing w:before="0" w:after="42" w:line="245" w:lineRule="auto"/>
        <w:shd w:val="clear" w:fill="F3F0E8"/>
        <w:keepLines w:val="1"/>
      </w:pPr>
      <w:r>
        <w:rPr>
          <w:b/>
          <w:i w:val="0"/>
          <w:color w:val="9B2C10"/>
          <w:sz w:val="22"/>
        </w:rPr>
        <w:t>Temidayo is evidence, not the hero. Her story is there so the viewer recognises themselves. If a cut makes her the subject rather than the proof, it is the wrong cut.</w:t>
      </w:r>
    </w:p>
    <w:p>
      <w:pPr>
        <w:spacing w:before="72" w:after="42" w:line="245" w:lineRule="auto"/>
        <w:keepLines w:val="1"/>
        <w:keepNext w:val="1"/>
      </w:pPr>
      <w:r>
        <w:rPr>
          <w:b/>
          <w:i w:val="0"/>
          <w:color w:val="0F2346"/>
          <w:sz w:val="28"/>
        </w:rPr>
        <w:t>5.  First 30 seconds — H.I.T. map</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0:00–0:11</w:t>
            </w:r>
          </w:p>
        </w:tc>
        <w:tc>
          <w:tcPr>
            <w:tcW w:type="dxa" w:w="2333"/>
          </w:tcPr>
          <w:p>
            <w:pPr>
              <w:spacing w:after="40" w:line="252" w:lineRule="auto"/>
            </w:pPr>
            <w:r/>
            <w:r>
              <w:rPr>
                <w:sz w:val="16"/>
              </w:rPr>
              <w:t>“There is a version of this you have probably already had: you are doing well where you are, and you have started looking at job adverts anyway.”</w:t>
            </w:r>
          </w:p>
        </w:tc>
        <w:tc>
          <w:tcPr>
            <w:tcW w:type="dxa" w:w="1325"/>
          </w:tcPr>
          <w:p>
            <w:pPr>
              <w:spacing w:after="40" w:line="252" w:lineRule="auto"/>
            </w:pPr>
            <w:r/>
            <w:r>
              <w:rPr>
                <w:sz w:val="16"/>
              </w:rPr>
              <w:t>Recognition of a specific, slightly private state.</w:t>
            </w:r>
          </w:p>
        </w:tc>
        <w:tc>
          <w:tcPr>
            <w:tcW w:type="dxa" w:w="1512"/>
          </w:tcPr>
          <w:p>
            <w:pPr>
              <w:spacing w:after="40" w:line="252" w:lineRule="auto"/>
            </w:pPr>
            <w:r/>
            <w:r>
              <w:rPr>
                <w:sz w:val="16"/>
              </w:rPr>
              <w:t>YOU MAY NOT NEED TO LEAVE</w:t>
            </w:r>
          </w:p>
        </w:tc>
        <w:tc>
          <w:tcPr>
            <w:tcW w:type="dxa" w:w="1584"/>
          </w:tcPr>
          <w:p>
            <w:pPr>
              <w:spacing w:after="40" w:line="252" w:lineRule="auto"/>
            </w:pPr>
            <w:r/>
            <w:r>
              <w:rPr>
                <w:sz w:val="16"/>
              </w:rPr>
              <w:t>Open on Temidayo, direct to camera. No title card.</w:t>
            </w:r>
          </w:p>
        </w:tc>
        <w:tc>
          <w:tcPr>
            <w:tcW w:type="dxa" w:w="1325"/>
          </w:tcPr>
          <w:p>
            <w:pPr>
              <w:spacing w:after="40" w:line="252" w:lineRule="auto"/>
            </w:pPr>
            <w:r/>
            <w:r>
              <w:rPr>
                <w:sz w:val="16"/>
              </w:rPr>
              <w:t>None yet.</w:t>
            </w:r>
          </w:p>
        </w:tc>
        <w:tc>
          <w:tcPr>
            <w:tcW w:type="dxa" w:w="1397"/>
          </w:tcPr>
          <w:p>
            <w:pPr>
              <w:spacing w:after="40" w:line="252" w:lineRule="auto"/>
            </w:pPr>
            <w:r/>
            <w:r>
              <w:rPr>
                <w:sz w:val="16"/>
              </w:rPr>
              <w:t>The viewer is described precisely, without judgement.</w:t>
            </w:r>
          </w:p>
        </w:tc>
      </w:tr>
      <w:tr>
        <w:tc>
          <w:tcPr>
            <w:tcW w:type="dxa" w:w="749"/>
          </w:tcPr>
          <w:p>
            <w:pPr>
              <w:spacing w:after="40" w:line="252" w:lineRule="auto"/>
            </w:pPr>
            <w:r/>
            <w:r>
              <w:rPr>
                <w:sz w:val="16"/>
              </w:rPr>
              <w:t>0:11–0:20</w:t>
            </w:r>
          </w:p>
        </w:tc>
        <w:tc>
          <w:tcPr>
            <w:tcW w:type="dxa" w:w="2333"/>
          </w:tcPr>
          <w:p>
            <w:pPr>
              <w:spacing w:after="40" w:line="252" w:lineRule="auto"/>
            </w:pPr>
            <w:r/>
            <w:r>
              <w:rPr>
                <w:sz w:val="16"/>
              </w:rPr>
              <w:t>“Not because anything is wrong. You want different work, and you have quietly decided the only way to get it is to leave.”</w:t>
            </w:r>
          </w:p>
        </w:tc>
        <w:tc>
          <w:tcPr>
            <w:tcW w:type="dxa" w:w="1325"/>
          </w:tcPr>
          <w:p>
            <w:pPr>
              <w:spacing w:after="40" w:line="252" w:lineRule="auto"/>
            </w:pPr>
            <w:r/>
            <w:r>
              <w:rPr>
                <w:sz w:val="16"/>
              </w:rPr>
              <w:t>Names the assumption the viewer has not examined.</w:t>
            </w:r>
          </w:p>
        </w:tc>
        <w:tc>
          <w:tcPr>
            <w:tcW w:type="dxa" w:w="1512"/>
          </w:tcPr>
          <w:p>
            <w:pPr>
              <w:spacing w:after="40" w:line="252" w:lineRule="auto"/>
            </w:pPr>
            <w:r/>
            <w:r>
              <w:rPr>
                <w:sz w:val="16"/>
              </w:rPr>
              <w:t>—</w:t>
            </w:r>
          </w:p>
        </w:tc>
        <w:tc>
          <w:tcPr>
            <w:tcW w:type="dxa" w:w="1584"/>
          </w:tcPr>
          <w:p>
            <w:pPr>
              <w:spacing w:after="40" w:line="252" w:lineRule="auto"/>
            </w:pPr>
            <w:r/>
            <w:r>
              <w:rPr>
                <w:sz w:val="16"/>
              </w:rPr>
              <w:t>Stay on her face.</w:t>
            </w:r>
          </w:p>
        </w:tc>
        <w:tc>
          <w:tcPr>
            <w:tcW w:type="dxa" w:w="1325"/>
          </w:tcPr>
          <w:p>
            <w:pPr>
              <w:spacing w:after="40" w:line="252" w:lineRule="auto"/>
            </w:pPr>
            <w:r/>
            <w:r>
              <w:rPr>
                <w:sz w:val="16"/>
              </w:rPr>
              <w:t>—</w:t>
            </w:r>
          </w:p>
        </w:tc>
        <w:tc>
          <w:tcPr>
            <w:tcW w:type="dxa" w:w="1397"/>
          </w:tcPr>
          <w:p>
            <w:pPr>
              <w:spacing w:after="40" w:line="252" w:lineRule="auto"/>
            </w:pPr>
            <w:r/>
            <w:r>
              <w:rPr>
                <w:sz w:val="16"/>
              </w:rPr>
              <w:t>The viewer notices an assumption they were making.</w:t>
            </w:r>
          </w:p>
        </w:tc>
      </w:tr>
      <w:tr>
        <w:tc>
          <w:tcPr>
            <w:tcW w:type="dxa" w:w="749"/>
          </w:tcPr>
          <w:p>
            <w:pPr>
              <w:spacing w:after="40" w:line="252" w:lineRule="auto"/>
            </w:pPr>
            <w:r/>
            <w:r>
              <w:rPr>
                <w:sz w:val="16"/>
              </w:rPr>
              <w:t>0:20–0:28</w:t>
            </w:r>
          </w:p>
        </w:tc>
        <w:tc>
          <w:tcPr>
            <w:tcW w:type="dxa" w:w="2333"/>
          </w:tcPr>
          <w:p>
            <w:pPr>
              <w:spacing w:after="40" w:line="252" w:lineRule="auto"/>
            </w:pPr>
            <w:r/>
            <w:r>
              <w:rPr>
                <w:sz w:val="16"/>
              </w:rPr>
              <w:t>“You may not need to leave. You may need access to work your current role is not giving you yet.”</w:t>
            </w:r>
          </w:p>
        </w:tc>
        <w:tc>
          <w:tcPr>
            <w:tcW w:type="dxa" w:w="1325"/>
          </w:tcPr>
          <w:p>
            <w:pPr>
              <w:spacing w:after="40" w:line="252" w:lineRule="auto"/>
            </w:pPr>
            <w:r/>
            <w:r>
              <w:rPr>
                <w:sz w:val="16"/>
              </w:rPr>
              <w:t>The reframe, and the promise.</w:t>
            </w:r>
          </w:p>
        </w:tc>
        <w:tc>
          <w:tcPr>
            <w:tcW w:type="dxa" w:w="1512"/>
          </w:tcPr>
          <w:p>
            <w:pPr>
              <w:spacing w:after="40" w:line="252" w:lineRule="auto"/>
            </w:pPr>
            <w:r/>
            <w:r>
              <w:rPr>
                <w:sz w:val="16"/>
              </w:rPr>
              <w:t>SAME COMPANY / DIFFERENT WORK</w:t>
            </w:r>
          </w:p>
        </w:tc>
        <w:tc>
          <w:tcPr>
            <w:tcW w:type="dxa" w:w="1584"/>
          </w:tcPr>
          <w:p>
            <w:pPr>
              <w:spacing w:after="40" w:line="252" w:lineRule="auto"/>
            </w:pPr>
            <w:r/>
            <w:r>
              <w:rPr>
                <w:sz w:val="16"/>
              </w:rPr>
              <w:t>Restrained. No office-building footage, no transfer arrows.</w:t>
            </w:r>
          </w:p>
        </w:tc>
        <w:tc>
          <w:tcPr>
            <w:tcW w:type="dxa" w:w="1325"/>
          </w:tcPr>
          <w:p>
            <w:pPr>
              <w:spacing w:after="40" w:line="252" w:lineRule="auto"/>
            </w:pPr>
            <w:r/>
            <w:r>
              <w:rPr>
                <w:sz w:val="16"/>
              </w:rPr>
              <w:t>—</w:t>
            </w:r>
          </w:p>
        </w:tc>
        <w:tc>
          <w:tcPr>
            <w:tcW w:type="dxa" w:w="1397"/>
          </w:tcPr>
          <w:p>
            <w:pPr>
              <w:spacing w:after="40" w:line="252" w:lineRule="auto"/>
            </w:pPr>
            <w:r/>
            <w:r>
              <w:rPr>
                <w:sz w:val="16"/>
              </w:rPr>
              <w:t>The viewer sees the question has been re-cut.</w:t>
            </w:r>
          </w:p>
        </w:tc>
      </w:tr>
      <w:tr>
        <w:tc>
          <w:tcPr>
            <w:tcW w:type="dxa" w:w="749"/>
          </w:tcPr>
          <w:p>
            <w:pPr>
              <w:spacing w:after="40" w:line="252" w:lineRule="auto"/>
            </w:pPr>
            <w:r/>
            <w:r>
              <w:rPr>
                <w:sz w:val="16"/>
              </w:rPr>
              <w:t>0:28–0:38</w:t>
            </w:r>
          </w:p>
        </w:tc>
        <w:tc>
          <w:tcPr>
            <w:tcW w:type="dxa" w:w="2333"/>
          </w:tcPr>
          <w:p>
            <w:pPr>
              <w:spacing w:after="40" w:line="252" w:lineRule="auto"/>
            </w:pPr>
            <w:r/>
            <w:r>
              <w:rPr>
                <w:sz w:val="16"/>
              </w:rPr>
              <w:t>“Let me show you what that looked like for me, and then I will give you three questions to test your own situation.”</w:t>
            </w:r>
          </w:p>
        </w:tc>
        <w:tc>
          <w:tcPr>
            <w:tcW w:type="dxa" w:w="1325"/>
          </w:tcPr>
          <w:p>
            <w:pPr>
              <w:spacing w:after="40" w:line="252" w:lineRule="auto"/>
            </w:pPr>
            <w:r/>
            <w:r>
              <w:rPr>
                <w:sz w:val="16"/>
              </w:rPr>
              <w:t>Offer: her case, then their turn.</w:t>
            </w:r>
          </w:p>
        </w:tc>
        <w:tc>
          <w:tcPr>
            <w:tcW w:type="dxa" w:w="1512"/>
          </w:tcPr>
          <w:p>
            <w:pPr>
              <w:spacing w:after="40" w:line="252" w:lineRule="auto"/>
            </w:pPr>
            <w:r/>
            <w:r>
              <w:rPr>
                <w:sz w:val="16"/>
              </w:rPr>
              <w:t>3 QUESTIONS</w:t>
            </w:r>
          </w:p>
        </w:tc>
        <w:tc>
          <w:tcPr>
            <w:tcW w:type="dxa" w:w="1584"/>
          </w:tcPr>
          <w:p>
            <w:pPr>
              <w:spacing w:after="40" w:line="252" w:lineRule="auto"/>
            </w:pPr>
            <w:r/>
            <w:r>
              <w:rPr>
                <w:sz w:val="16"/>
              </w:rPr>
              <w:t>Return cleanly to Temidayo, then into the proof.</w:t>
            </w:r>
          </w:p>
        </w:tc>
        <w:tc>
          <w:tcPr>
            <w:tcW w:type="dxa" w:w="1325"/>
          </w:tcPr>
          <w:p>
            <w:pPr>
              <w:spacing w:after="40" w:line="252" w:lineRule="auto"/>
            </w:pPr>
            <w:r/>
            <w:r>
              <w:rPr>
                <w:sz w:val="16"/>
              </w:rPr>
              <w:t>The maternity-return scope expansion, bounded.</w:t>
            </w:r>
          </w:p>
        </w:tc>
        <w:tc>
          <w:tcPr>
            <w:tcW w:type="dxa" w:w="1397"/>
          </w:tcPr>
          <w:p>
            <w:pPr>
              <w:spacing w:after="40" w:line="252" w:lineRule="auto"/>
            </w:pPr>
            <w:r/>
            <w:r>
              <w:rPr>
                <w:sz w:val="16"/>
              </w:rPr>
              <w:t>Payoff explicit by 38 seconds.</w:t>
            </w:r>
          </w:p>
        </w:tc>
      </w:tr>
    </w:tbl>
    <w:p>
      <w:pPr>
        <w:spacing w:before="52" w:after="26" w:line="245" w:lineRule="auto"/>
        <w:keepLines w:val="1"/>
      </w:pPr>
      <w:r>
        <w:rPr>
          <w:b/>
          <w:i w:val="0"/>
          <w:color w:val="0F2346"/>
          <w:sz w:val="21"/>
        </w:rPr>
        <w:t>Hook layers:</w:t>
      </w:r>
    </w:p>
    <w:p>
      <w:pPr>
        <w:spacing w:before="0" w:after="20" w:line="245" w:lineRule="auto"/>
        <w:keepLines w:val="1"/>
      </w:pPr>
      <w:r>
        <w:rPr>
          <w:b w:val="0"/>
          <w:i w:val="0"/>
          <w:sz w:val="21"/>
        </w:rPr>
        <w:t>Verbal hook:       You are doing well where you are, and you have started looking at job adverts anyway.</w:t>
      </w:r>
    </w:p>
    <w:p>
      <w:pPr>
        <w:spacing w:before="0" w:after="20" w:line="245" w:lineRule="auto"/>
        <w:keepLines w:val="1"/>
      </w:pPr>
      <w:r>
        <w:rPr>
          <w:b w:val="0"/>
          <w:i w:val="0"/>
          <w:sz w:val="21"/>
        </w:rPr>
        <w:t>On-screen hook:    YOU MAY NOT NEED TO LEAVE</w:t>
      </w:r>
    </w:p>
    <w:p>
      <w:pPr>
        <w:spacing w:before="0" w:after="20" w:line="245" w:lineRule="auto"/>
        <w:keepLines w:val="1"/>
      </w:pPr>
      <w:r>
        <w:rPr>
          <w:b w:val="0"/>
          <w:i w:val="0"/>
          <w:sz w:val="21"/>
        </w:rPr>
        <w:t>Visual / editor:   Direct to camera, then SAME COMPANY / DIFFERENT WORK, then MORE WORK? / DIFFERENT WORK. No maternity or baby imagery at any point.</w:t>
      </w:r>
    </w:p>
    <w:p>
      <w:pPr>
        <w:spacing w:before="0" w:after="20" w:line="245" w:lineRule="auto"/>
        <w:keepLines w:val="1"/>
      </w:pPr>
      <w:r>
        <w:rPr>
          <w:b w:val="0"/>
          <w:i w:val="0"/>
          <w:sz w:val="21"/>
        </w:rPr>
        <w:t>Trust beat:        The maternity-return scope expansion, and the distinction she took a while to see.</w:t>
      </w:r>
    </w:p>
    <w:p>
      <w:pPr>
        <w:spacing w:before="0" w:after="20" w:line="245" w:lineRule="auto"/>
        <w:keepLines w:val="1"/>
      </w:pPr>
      <w:r>
        <w:rPr>
          <w:b w:val="0"/>
          <w:i w:val="0"/>
          <w:sz w:val="21"/>
        </w:rPr>
        <w:t>Viewer payoff:     Three questions to test an internal move, by 0:38.</w:t>
      </w:r>
    </w:p>
    <w:p>
      <w:pPr>
        <w:spacing w:before="72" w:after="42" w:line="245" w:lineRule="auto"/>
        <w:keepLines w:val="1"/>
        <w:keepNext w:val="1"/>
      </w:pPr>
      <w:r>
        <w:rPr>
          <w:b/>
          <w:i w:val="0"/>
          <w:color w:val="0F2346"/>
          <w:sz w:val="28"/>
        </w:rPr>
        <w:t>6.  Slide marker → slide</w:t>
      </w:r>
    </w:p>
    <w:p>
      <w:pPr>
        <w:spacing w:before="0" w:after="42" w:line="245" w:lineRule="auto"/>
      </w:pPr>
      <w:r>
        <w:rPr>
          <w:b w:val="0"/>
          <w:i w:val="0"/>
          <w:sz w:val="22"/>
        </w:rPr>
        <w:t>Twelve markers, mapping to the existing twelve-slide deck in order. The v5.0 script was mapped against the deck and every slide still serves the new story, so NO slide text was changed in this rebuild.</w:t>
      </w:r>
    </w:p>
    <w:p>
      <w:pPr>
        <w:spacing w:before="0" w:after="16" w:line="245" w:lineRule="auto"/>
        <w:keepLines w:val="1"/>
      </w:pPr>
      <w:r>
        <w:rPr>
          <w:b w:val="0"/>
          <w:i w:val="0"/>
          <w:sz w:val="21"/>
        </w:rPr>
        <w:t>Marker 1   →  Slide 1   Core Distinction</w:t>
      </w:r>
    </w:p>
    <w:p>
      <w:pPr>
        <w:spacing w:before="0" w:after="16" w:line="245" w:lineRule="auto"/>
        <w:keepLines w:val="1"/>
      </w:pPr>
      <w:r>
        <w:rPr>
          <w:b w:val="0"/>
          <w:i w:val="0"/>
          <w:sz w:val="21"/>
        </w:rPr>
        <w:t>Marker 2   →  Slide 2   The Three Questions</w:t>
      </w:r>
    </w:p>
    <w:p>
      <w:pPr>
        <w:spacing w:before="0" w:after="16" w:line="245" w:lineRule="auto"/>
        <w:keepLines w:val="1"/>
      </w:pPr>
      <w:r>
        <w:rPr>
          <w:b w:val="0"/>
          <w:i w:val="0"/>
          <w:sz w:val="21"/>
        </w:rPr>
        <w:t>Marker 3   →  Slide 3   1 — Will the Work Change?</w:t>
      </w:r>
    </w:p>
    <w:p>
      <w:pPr>
        <w:spacing w:before="0" w:after="16" w:line="245" w:lineRule="auto"/>
        <w:keepLines w:val="1"/>
      </w:pPr>
      <w:r>
        <w:rPr>
          <w:b w:val="0"/>
          <w:i w:val="0"/>
          <w:sz w:val="21"/>
        </w:rPr>
        <w:t>Marker 4   →  Slide 4   Access Test</w:t>
      </w:r>
    </w:p>
    <w:p>
      <w:pPr>
        <w:spacing w:before="0" w:after="16" w:line="245" w:lineRule="auto"/>
        <w:keepLines w:val="1"/>
      </w:pPr>
      <w:r>
        <w:rPr>
          <w:b w:val="0"/>
          <w:i w:val="0"/>
          <w:sz w:val="21"/>
        </w:rPr>
        <w:t>Marker 5   →  Slide 5   2 — Will Your Judgment Expand?</w:t>
      </w:r>
    </w:p>
    <w:p>
      <w:pPr>
        <w:spacing w:before="0" w:after="16" w:line="245" w:lineRule="auto"/>
        <w:keepLines w:val="1"/>
      </w:pPr>
      <w:r>
        <w:rPr>
          <w:b w:val="0"/>
          <w:i w:val="0"/>
          <w:sz w:val="21"/>
        </w:rPr>
        <w:t>Marker 6   →  Slide 6   More Tasks / More Judgment</w:t>
      </w:r>
    </w:p>
    <w:p>
      <w:pPr>
        <w:spacing w:before="0" w:after="16" w:line="245" w:lineRule="auto"/>
        <w:keepLines w:val="1"/>
      </w:pPr>
      <w:r>
        <w:rPr>
          <w:b w:val="0"/>
          <w:i w:val="0"/>
          <w:sz w:val="21"/>
        </w:rPr>
        <w:t>Marker 7   →  Slide 7   3 — Will the Evidence Travel?</w:t>
      </w:r>
    </w:p>
    <w:p>
      <w:pPr>
        <w:spacing w:before="0" w:after="16" w:line="245" w:lineRule="auto"/>
        <w:keepLines w:val="1"/>
      </w:pPr>
      <w:r>
        <w:rPr>
          <w:b w:val="0"/>
          <w:i w:val="0"/>
          <w:sz w:val="21"/>
        </w:rPr>
        <w:t>Marker 8   →  Slide 8   Result / Judgment / Range</w:t>
      </w:r>
    </w:p>
    <w:p>
      <w:pPr>
        <w:spacing w:before="0" w:after="16" w:line="245" w:lineRule="auto"/>
        <w:keepLines w:val="1"/>
      </w:pPr>
      <w:r>
        <w:rPr>
          <w:b w:val="0"/>
          <w:i w:val="0"/>
          <w:sz w:val="21"/>
        </w:rPr>
        <w:t>Marker 9   →  Slide 9   Decision Read</w:t>
      </w:r>
    </w:p>
    <w:p>
      <w:pPr>
        <w:spacing w:before="0" w:after="16" w:line="245" w:lineRule="auto"/>
        <w:keepLines w:val="1"/>
      </w:pPr>
      <w:r>
        <w:rPr>
          <w:b w:val="0"/>
          <w:i w:val="0"/>
          <w:sz w:val="21"/>
        </w:rPr>
        <w:t>Marker 10  →  Slide 10  Conversation Prompts</w:t>
      </w:r>
    </w:p>
    <w:p>
      <w:pPr>
        <w:spacing w:before="0" w:after="16" w:line="245" w:lineRule="auto"/>
        <w:keepLines w:val="1"/>
      </w:pPr>
      <w:r>
        <w:rPr>
          <w:b w:val="0"/>
          <w:i w:val="0"/>
          <w:sz w:val="21"/>
        </w:rPr>
        <w:t>Marker 11  →  Slide 11  Career Decision Evidence Check</w:t>
      </w:r>
    </w:p>
    <w:p>
      <w:pPr>
        <w:spacing w:before="0" w:after="16" w:line="245" w:lineRule="auto"/>
        <w:keepLines w:val="1"/>
      </w:pPr>
      <w:r>
        <w:rPr>
          <w:b w:val="0"/>
          <w:i w:val="0"/>
          <w:sz w:val="21"/>
        </w:rPr>
        <w:t>Marker 12  →  Slide 12  Watch Next</w:t>
      </w:r>
    </w:p>
    <w:p>
      <w:pPr>
        <w:spacing w:before="72" w:after="42" w:line="245" w:lineRule="auto"/>
        <w:keepLines w:val="1"/>
        <w:keepNext w:val="1"/>
      </w:pPr>
      <w:r>
        <w:rPr>
          <w:b/>
          <w:i w:val="0"/>
          <w:color w:val="0F2346"/>
          <w:sz w:val="28"/>
        </w:rPr>
        <w:t>7.  Reveal-state map</w:t>
      </w:r>
    </w:p>
    <w:p>
      <w:pPr>
        <w:spacing w:before="0" w:after="42" w:line="245" w:lineRule="auto"/>
      </w:pPr>
      <w:r>
        <w:rPr>
          <w:b w:val="0"/>
          <w:i w:val="0"/>
          <w:sz w:val="22"/>
        </w:rPr>
        <w:t>25 reveal frames, inspected from the file. Reveal visuals unchanged.</w:t>
      </w:r>
    </w:p>
    <w:p>
      <w:pPr>
        <w:spacing w:before="0" w:after="16" w:line="245" w:lineRule="auto"/>
        <w:keepLines w:val="1"/>
      </w:pPr>
      <w:r>
        <w:rPr>
          <w:b w:val="0"/>
          <w:i w:val="0"/>
          <w:sz w:val="21"/>
        </w:rPr>
        <w:t>Slide 1   →  reveal frames 1–2      (2)</w:t>
      </w:r>
    </w:p>
    <w:p>
      <w:pPr>
        <w:spacing w:before="0" w:after="16" w:line="245" w:lineRule="auto"/>
        <w:keepLines w:val="1"/>
      </w:pPr>
      <w:r>
        <w:rPr>
          <w:b w:val="0"/>
          <w:i w:val="0"/>
          <w:sz w:val="21"/>
        </w:rPr>
        <w:t>Slide 2   →  reveal frames 3–5      (3)</w:t>
      </w:r>
    </w:p>
    <w:p>
      <w:pPr>
        <w:spacing w:before="0" w:after="16" w:line="245" w:lineRule="auto"/>
        <w:keepLines w:val="1"/>
      </w:pPr>
      <w:r>
        <w:rPr>
          <w:b w:val="0"/>
          <w:i w:val="0"/>
          <w:sz w:val="21"/>
        </w:rPr>
        <w:t>Slide 3   →  reveal frames 6        (1)</w:t>
      </w:r>
    </w:p>
    <w:p>
      <w:pPr>
        <w:spacing w:before="0" w:after="16" w:line="245" w:lineRule="auto"/>
        <w:keepLines w:val="1"/>
      </w:pPr>
      <w:r>
        <w:rPr>
          <w:b w:val="0"/>
          <w:i w:val="0"/>
          <w:sz w:val="21"/>
        </w:rPr>
        <w:t>Slide 4   →  reveal frames 7–10     (4)</w:t>
      </w:r>
    </w:p>
    <w:p>
      <w:pPr>
        <w:spacing w:before="0" w:after="16" w:line="245" w:lineRule="auto"/>
        <w:keepLines w:val="1"/>
      </w:pPr>
      <w:r>
        <w:rPr>
          <w:b w:val="0"/>
          <w:i w:val="0"/>
          <w:sz w:val="21"/>
        </w:rPr>
        <w:t>Slide 5   →  reveal frames 11       (1)</w:t>
      </w:r>
    </w:p>
    <w:p>
      <w:pPr>
        <w:spacing w:before="0" w:after="16" w:line="245" w:lineRule="auto"/>
        <w:keepLines w:val="1"/>
      </w:pPr>
      <w:r>
        <w:rPr>
          <w:b w:val="0"/>
          <w:i w:val="0"/>
          <w:sz w:val="21"/>
        </w:rPr>
        <w:t>Slide 6   →  reveal frames 12–13    (2)</w:t>
      </w:r>
    </w:p>
    <w:p>
      <w:pPr>
        <w:spacing w:before="0" w:after="16" w:line="245" w:lineRule="auto"/>
        <w:keepLines w:val="1"/>
      </w:pPr>
      <w:r>
        <w:rPr>
          <w:b w:val="0"/>
          <w:i w:val="0"/>
          <w:sz w:val="21"/>
        </w:rPr>
        <w:t>Slide 7   →  reveal frames 14       (1)</w:t>
      </w:r>
    </w:p>
    <w:p>
      <w:pPr>
        <w:spacing w:before="0" w:after="16" w:line="245" w:lineRule="auto"/>
        <w:keepLines w:val="1"/>
      </w:pPr>
      <w:r>
        <w:rPr>
          <w:b w:val="0"/>
          <w:i w:val="0"/>
          <w:sz w:val="21"/>
        </w:rPr>
        <w:t>Slide 8   →  reveal frames 15–17    (3)</w:t>
      </w:r>
    </w:p>
    <w:p>
      <w:pPr>
        <w:spacing w:before="0" w:after="16" w:line="245" w:lineRule="auto"/>
        <w:keepLines w:val="1"/>
      </w:pPr>
      <w:r>
        <w:rPr>
          <w:b w:val="0"/>
          <w:i w:val="0"/>
          <w:sz w:val="21"/>
        </w:rPr>
        <w:t>Slide 9   →  reveal frames 18–20    (3)</w:t>
      </w:r>
    </w:p>
    <w:p>
      <w:pPr>
        <w:spacing w:before="0" w:after="16" w:line="245" w:lineRule="auto"/>
        <w:keepLines w:val="1"/>
      </w:pPr>
      <w:r>
        <w:rPr>
          <w:b w:val="0"/>
          <w:i w:val="0"/>
          <w:sz w:val="21"/>
        </w:rPr>
        <w:t>Slide 10  →  reveal frames 21–23    (3)</w:t>
      </w:r>
    </w:p>
    <w:p>
      <w:pPr>
        <w:spacing w:before="0" w:after="16" w:line="245" w:lineRule="auto"/>
        <w:keepLines w:val="1"/>
      </w:pPr>
      <w:r>
        <w:rPr>
          <w:b w:val="0"/>
          <w:i w:val="0"/>
          <w:sz w:val="21"/>
        </w:rPr>
        <w:t>Slide 11  →  reveal frames 24       (1)</w:t>
      </w:r>
    </w:p>
    <w:p>
      <w:pPr>
        <w:spacing w:before="0" w:after="16" w:line="245" w:lineRule="auto"/>
        <w:keepLines w:val="1"/>
      </w:pPr>
      <w:r>
        <w:rPr>
          <w:b w:val="0"/>
          <w:i w:val="0"/>
          <w:sz w:val="21"/>
        </w:rPr>
        <w:t>Slide 12  →  reveal frames 25       (1)</w:t>
      </w:r>
    </w:p>
    <w:p>
      <w:pPr>
        <w:spacing w:before="72" w:after="42" w:line="245" w:lineRule="auto"/>
        <w:keepLines w:val="1"/>
        <w:keepNext w:val="1"/>
      </w:pPr>
      <w:r>
        <w:rPr>
          <w:b/>
          <w:i w:val="0"/>
          <w:color w:val="0F2346"/>
          <w:sz w:val="28"/>
        </w:rPr>
        <w:t>8.  Visual assets and proof</w:t>
      </w:r>
    </w:p>
    <w:p>
      <w:pPr>
        <w:spacing w:before="0" w:after="20" w:line="245" w:lineRule="auto"/>
        <w:keepLines w:val="1"/>
      </w:pPr>
      <w:r>
        <w:rPr>
          <w:b w:val="0"/>
          <w:i w:val="0"/>
          <w:sz w:val="22"/>
        </w:rPr>
        <w:t>—  slide 1, INTERNAL MOVE ≠ AUTOMATIC GROWTH, drawn not typeset;</w:t>
      </w:r>
    </w:p>
    <w:p>
      <w:pPr>
        <w:spacing w:before="0" w:after="20" w:line="245" w:lineRule="auto"/>
        <w:keepLines w:val="1"/>
      </w:pPr>
      <w:r>
        <w:rPr>
          <w:b w:val="0"/>
          <w:i w:val="0"/>
          <w:sz w:val="22"/>
        </w:rPr>
        <w:t>—  slide 4, the four access variables;</w:t>
      </w:r>
    </w:p>
    <w:p>
      <w:pPr>
        <w:spacing w:before="0" w:after="20" w:line="245" w:lineRule="auto"/>
        <w:keepLines w:val="1"/>
      </w:pPr>
      <w:r>
        <w:rPr>
          <w:b w:val="0"/>
          <w:i w:val="0"/>
          <w:sz w:val="22"/>
        </w:rPr>
        <w:t>—  slide 6, MORE TASKS beside MORE JUDGMENT;</w:t>
      </w:r>
    </w:p>
    <w:p>
      <w:pPr>
        <w:spacing w:before="0" w:after="20" w:line="245" w:lineRule="auto"/>
        <w:keepLines w:val="1"/>
      </w:pPr>
      <w:r>
        <w:rPr>
          <w:b w:val="0"/>
          <w:i w:val="0"/>
          <w:sz w:val="22"/>
        </w:rPr>
        <w:t>—  slide 8, RESULT / JUDGMENT / RANGE;</w:t>
      </w:r>
    </w:p>
    <w:p>
      <w:pPr>
        <w:spacing w:before="0" w:after="20" w:line="245" w:lineRule="auto"/>
        <w:keepLines w:val="1"/>
      </w:pPr>
      <w:r>
        <w:rPr>
          <w:b w:val="0"/>
          <w:i w:val="0"/>
          <w:sz w:val="22"/>
        </w:rPr>
        <w:t>—  slide 9, the 3 / 2 / 0–1 read, never gamified.</w:t>
      </w:r>
    </w:p>
    <w:p>
      <w:pPr>
        <w:spacing w:before="20" w:after="42" w:line="245" w:lineRule="auto"/>
        <w:keepLines w:val="1"/>
      </w:pPr>
      <w:r>
        <w:rPr>
          <w:b/>
          <w:i w:val="0"/>
          <w:sz w:val="22"/>
        </w:rPr>
        <w:t>Slides carry structure. Artifacts carry proof. Temidayo carries the relationship and the meaning. Do not swap those jobs around.</w:t>
      </w:r>
    </w:p>
    <w:p>
      <w:pPr>
        <w:spacing w:before="72" w:after="42" w:line="245" w:lineRule="auto"/>
        <w:keepLines w:val="1"/>
        <w:keepNext w:val="1"/>
      </w:pPr>
      <w:r>
        <w:rPr>
          <w:b/>
          <w:i w:val="0"/>
          <w:color w:val="0F2346"/>
          <w:sz w:val="28"/>
        </w:rPr>
        <w:t>9.  Factual boundaries</w:t>
      </w:r>
    </w:p>
    <w:p>
      <w:pPr>
        <w:spacing w:before="0" w:after="42" w:line="245" w:lineRule="auto"/>
        <w:shd w:val="clear" w:fill="F3F0E8"/>
        <w:keepLines w:val="1"/>
      </w:pPr>
      <w:r>
        <w:rPr>
          <w:b/>
          <w:i w:val="0"/>
          <w:color w:val="9B2C10"/>
          <w:sz w:val="22"/>
        </w:rPr>
        <w:t>THE MATERNITY-RETURN PROOF IS BOUNDED. About six months after Temidayo came back from maternity leave in one chapter of her career, her scope expanded beyond the original box of the role, and the meaningful part was being trusted with different work. That is the entire approved fact. No employer, no assignment, no result, no promotion, no metric, no conversation.</w:t>
      </w:r>
    </w:p>
    <w:p>
      <w:pPr>
        <w:spacing w:before="0" w:after="42" w:line="245" w:lineRule="auto"/>
        <w:shd w:val="clear" w:fill="F3F0E8"/>
        <w:keepLines w:val="1"/>
      </w:pPr>
      <w:r>
        <w:rPr>
          <w:b/>
          <w:i w:val="0"/>
          <w:color w:val="9B2C10"/>
          <w:sz w:val="22"/>
        </w:rPr>
        <w:t>NO MATERNITY OR BABY IMAGERY. The proof is Temidayo saying what happened. Do not dramatise it and do not illustrate it.</w:t>
      </w:r>
    </w:p>
    <w:p>
      <w:pPr>
        <w:spacing w:before="0" w:after="16" w:line="245" w:lineRule="auto"/>
        <w:keepLines w:val="1"/>
      </w:pPr>
      <w:r>
        <w:rPr>
          <w:b w:val="0"/>
          <w:i w:val="0"/>
          <w:sz w:val="22"/>
        </w:rPr>
        <w:t>—  no employer named anywhere;        —  no invented assignment or result;</w:t>
      </w:r>
    </w:p>
    <w:p>
      <w:pPr>
        <w:spacing w:before="0" w:after="16" w:line="245" w:lineRule="auto"/>
        <w:keepLines w:val="1"/>
      </w:pPr>
      <w:r>
        <w:rPr>
          <w:b w:val="0"/>
          <w:i w:val="0"/>
          <w:sz w:val="22"/>
        </w:rPr>
        <w:t>—  no claim that every internal move is growth;</w:t>
      </w:r>
    </w:p>
    <w:p>
      <w:pPr>
        <w:spacing w:before="0" w:after="16" w:line="245" w:lineRule="auto"/>
        <w:keepLines w:val="1"/>
      </w:pPr>
      <w:r>
        <w:rPr>
          <w:b w:val="0"/>
          <w:i w:val="0"/>
          <w:sz w:val="22"/>
        </w:rPr>
        <w:t>—  no claim that an external move is automatically better;</w:t>
      </w:r>
    </w:p>
    <w:p>
      <w:pPr>
        <w:spacing w:before="0" w:after="16" w:line="245" w:lineRule="auto"/>
        <w:keepLines w:val="1"/>
      </w:pPr>
      <w:r>
        <w:rPr>
          <w:b w:val="0"/>
          <w:i w:val="0"/>
          <w:sz w:val="22"/>
        </w:rPr>
        <w:t>—  pay, caregiving, location, immigration status, energy and timing remain legitimate;</w:t>
      </w:r>
    </w:p>
    <w:p>
      <w:pPr>
        <w:spacing w:before="0" w:after="16" w:line="245" w:lineRule="auto"/>
        <w:keepLines w:val="1"/>
      </w:pPr>
      <w:r>
        <w:rPr>
          <w:b w:val="0"/>
          <w:i w:val="0"/>
          <w:sz w:val="22"/>
        </w:rPr>
        <w:t>—  the health, safety, harassment and discrimination boundary stays exactly as spoken.</w:t>
      </w:r>
    </w:p>
    <w:p>
      <w:pPr>
        <w:spacing w:before="72" w:after="42" w:line="245" w:lineRule="auto"/>
        <w:keepLines w:val="1"/>
        <w:keepNext w:val="1"/>
      </w:pPr>
      <w:r>
        <w:rPr>
          <w:b/>
          <w:i w:val="0"/>
          <w:color w:val="0F2346"/>
          <w:sz w:val="28"/>
        </w:rPr>
        <w:t>10.  Do not use</w:t>
      </w:r>
    </w:p>
    <w:p>
      <w:pPr>
        <w:spacing w:before="0" w:after="16" w:line="245" w:lineRule="auto"/>
        <w:keepLines w:val="1"/>
      </w:pPr>
      <w:r>
        <w:rPr>
          <w:b w:val="0"/>
          <w:i w:val="0"/>
          <w:sz w:val="22"/>
        </w:rPr>
        <w:t>—  maternity or baby imagery;        —  stock office B-roll;</w:t>
      </w:r>
    </w:p>
    <w:p>
      <w:pPr>
        <w:spacing w:before="0" w:after="16" w:line="245" w:lineRule="auto"/>
        <w:keepLines w:val="1"/>
      </w:pPr>
      <w:r>
        <w:rPr>
          <w:b w:val="0"/>
          <w:i w:val="0"/>
          <w:sz w:val="22"/>
        </w:rPr>
        <w:t>—  transfer arrows;        —  doors or ladders;</w:t>
      </w:r>
    </w:p>
    <w:p>
      <w:pPr>
        <w:spacing w:before="0" w:after="16" w:line="245" w:lineRule="auto"/>
        <w:keepLines w:val="1"/>
      </w:pPr>
      <w:r>
        <w:rPr>
          <w:b w:val="0"/>
          <w:i w:val="0"/>
          <w:sz w:val="22"/>
        </w:rPr>
        <w:t>—  org-chart animations;        —  employer logos;</w:t>
      </w:r>
    </w:p>
    <w:p>
      <w:pPr>
        <w:spacing w:before="0" w:after="16" w:line="245" w:lineRule="auto"/>
        <w:keepLines w:val="1"/>
      </w:pPr>
      <w:r>
        <w:rPr>
          <w:b w:val="0"/>
          <w:i w:val="0"/>
          <w:sz w:val="22"/>
        </w:rPr>
        <w:t>—  fake promotion graphics;        —  constant zooms;</w:t>
      </w:r>
    </w:p>
    <w:p>
      <w:pPr>
        <w:spacing w:before="0" w:after="16" w:line="245" w:lineRule="auto"/>
        <w:keepLines w:val="1"/>
      </w:pPr>
      <w:r>
        <w:rPr>
          <w:b w:val="0"/>
          <w:i w:val="0"/>
          <w:sz w:val="22"/>
        </w:rPr>
        <w:t>—  AI-generated scenery;        —  social-media template effects.</w:t>
      </w:r>
    </w:p>
    <w:p>
      <w:pPr>
        <w:spacing w:before="72" w:after="42" w:line="245" w:lineRule="auto"/>
        <w:keepLines w:val="1"/>
        <w:keepNext w:val="1"/>
      </w:pPr>
      <w:r>
        <w:rPr>
          <w:b/>
          <w:i w:val="0"/>
          <w:color w:val="0F2346"/>
          <w:sz w:val="28"/>
        </w:rPr>
        <w:t>11.  CTA and watch next</w:t>
      </w:r>
    </w:p>
    <w:p>
      <w:pPr>
        <w:spacing w:before="0" w:after="26" w:line="245" w:lineRule="auto"/>
        <w:keepLines w:val="1"/>
      </w:pPr>
      <w:r>
        <w:rPr>
          <w:b w:val="0"/>
          <w:i w:val="0"/>
          <w:sz w:val="22"/>
        </w:rPr>
        <w:t>One resource CTA only: Career Decision Evidence Check — https://temidayoafonja.com/career-decisions</w:t>
      </w:r>
    </w:p>
    <w:p>
      <w:pPr>
        <w:spacing w:before="0" w:after="32" w:line="245" w:lineRule="auto"/>
        <w:keepLines w:val="1"/>
      </w:pPr>
      <w:r>
        <w:rPr>
          <w:b w:val="0"/>
          <w:i w:val="0"/>
          <w:sz w:val="22"/>
        </w:rPr>
        <w:t>It arrives after the identity bridge, so it reads as the next step rather than an advert. Keep that order.</w:t>
      </w:r>
    </w:p>
    <w:p>
      <w:pPr>
        <w:spacing w:before="0" w:after="32" w:line="245" w:lineRule="auto"/>
        <w:keepLines w:val="1"/>
      </w:pPr>
      <w:r>
        <w:rPr>
          <w:b w:val="0"/>
          <w:i w:val="0"/>
          <w:sz w:val="22"/>
        </w:rPr>
        <w:t>Note the phrasing: “I made the Career Decision Evidence Check to help you organise the evidence behind that choice.” Offered, not announced.</w:t>
      </w:r>
    </w:p>
    <w:p>
      <w:pPr>
        <w:spacing w:before="0" w:after="32" w:line="245" w:lineRule="auto"/>
        <w:keepLines w:val="1"/>
      </w:pPr>
      <w:r>
        <w:rPr>
          <w:b w:val="0"/>
          <w:i w:val="0"/>
          <w:sz w:val="22"/>
        </w:rPr>
        <w:t>CTA production gate: SATISFIED. Retain one signed-out link check in the final upload SOP.</w:t>
      </w:r>
    </w:p>
    <w:p>
      <w:pPr>
        <w:spacing w:before="0" w:after="32" w:line="245" w:lineRule="auto"/>
        <w:keepLines w:val="1"/>
      </w:pPr>
      <w:r>
        <w:rPr>
          <w:b/>
          <w:i w:val="0"/>
          <w:sz w:val="22"/>
        </w:rPr>
        <w:t>Watch next: Video 6 — Are You Growing—or Just Being Given More Work?</w:t>
      </w:r>
    </w:p>
    <w:p>
      <w:pPr>
        <w:spacing w:before="0" w:after="42" w:line="245" w:lineRule="auto"/>
        <w:keepLines w:val="1"/>
      </w:pPr>
      <w:r>
        <w:rPr>
          <w:b/>
          <w:i w:val="0"/>
          <w:color w:val="9B2C10"/>
          <w:sz w:val="22"/>
        </w:rPr>
        <w:t>Do not leave Subscribe as the only end-screen element.</w:t>
      </w:r>
    </w:p>
    <w:p>
      <w:pPr>
        <w:spacing w:before="72" w:after="42" w:line="245" w:lineRule="auto"/>
        <w:keepLines w:val="1"/>
        <w:keepNext w:val="1"/>
      </w:pPr>
      <w:r>
        <w:rPr>
          <w:b/>
          <w:i w:val="0"/>
          <w:color w:val="0F2346"/>
          <w:sz w:val="28"/>
        </w:rPr>
        <w:t>12.  Identity exit — do not cut</w:t>
      </w:r>
    </w:p>
    <w:p>
      <w:pPr>
        <w:spacing w:before="0" w:after="32" w:line="245" w:lineRule="auto"/>
        <w:shd w:val="clear" w:fill="F3F0E8"/>
        <w:keepLines w:val="1"/>
      </w:pPr>
      <w:r>
        <w:rPr>
          <w:b/>
          <w:i w:val="0"/>
          <w:color w:val="0F2346"/>
          <w:sz w:val="22"/>
        </w:rPr>
        <w:t>“I am not only trying to help you decide this one move. I want you to be able to read any opportunity — inside or outside — for what it will actually build in you, instead of chasing the title and finding out afterwards. Once you can do that, you stop needing anyone to tell you whether an opportunity is good. You can see it yourself.”</w:t>
      </w:r>
    </w:p>
    <w:p>
      <w:pPr>
        <w:spacing w:before="0" w:after="42" w:line="245" w:lineRule="auto"/>
        <w:keepLines w:val="1"/>
      </w:pPr>
      <w:r>
        <w:rPr>
          <w:b w:val="0"/>
          <w:i w:val="0"/>
          <w:sz w:val="22"/>
        </w:rPr>
        <w:t>It sits at the end of the Conversation Prompts section, after the limits and the life factors, and before the CTA. It is the point of the video. If the edit runs long, cut something else.</w:t>
      </w:r>
    </w:p>
    <w:p>
      <w:pPr>
        <w:spacing w:before="72" w:after="42" w:line="245" w:lineRule="auto"/>
        <w:keepLines w:val="1"/>
        <w:keepNext w:val="1"/>
      </w:pPr>
      <w:r>
        <w:rPr>
          <w:b/>
          <w:i w:val="0"/>
          <w:color w:val="0F2346"/>
          <w:sz w:val="28"/>
        </w:rPr>
        <w:t>13.  Direct-address editing rule</w:t>
      </w:r>
    </w:p>
    <w:p>
      <w:pPr>
        <w:spacing w:before="0" w:after="16" w:line="245" w:lineRule="auto"/>
        <w:keepLines w:val="1"/>
      </w:pPr>
      <w:r>
        <w:rPr>
          <w:b w:val="0"/>
          <w:i w:val="0"/>
          <w:sz w:val="22"/>
        </w:rPr>
        <w:t>—  keep direct questions on Temidayo's face;        —  no keynote framing;</w:t>
      </w:r>
    </w:p>
    <w:p>
      <w:pPr>
        <w:spacing w:before="0" w:after="16" w:line="245" w:lineRule="auto"/>
        <w:keepLines w:val="1"/>
      </w:pPr>
      <w:r>
        <w:rPr>
          <w:b w:val="0"/>
          <w:i w:val="0"/>
          <w:sz w:val="22"/>
        </w:rPr>
        <w:t>—  do not overuse quote cards;        —  let the slides carry structure;</w:t>
      </w:r>
    </w:p>
    <w:p>
      <w:pPr>
        <w:spacing w:before="0" w:after="16" w:line="245" w:lineRule="auto"/>
        <w:keepLines w:val="1"/>
      </w:pPr>
      <w:r>
        <w:rPr>
          <w:b w:val="0"/>
          <w:i w:val="0"/>
          <w:sz w:val="22"/>
        </w:rPr>
        <w:t>—  preserve the pauses;        —  never cut the relational lines as filler.</w:t>
      </w:r>
    </w:p>
    <w:p>
      <w:pPr>
        <w:spacing w:before="0" w:after="42" w:line="245" w:lineRule="auto"/>
        <w:keepLines w:val="1"/>
      </w:pPr>
      <w:r>
        <w:rPr>
          <w:b w:val="0"/>
          <w:i w:val="0"/>
          <w:sz w:val="21"/>
        </w:rPr>
        <w:t>Relational beats: “Not because anything is wrong.” · “More landed on me. That part is easy to describe. But that is not the part that mattered.” · “That is not them being unfair. It is just how organisations build a picture of a person.” · “I just do not want you calling it development when it is relief. Both are allowed.” · “You can see it yourself.”</w:t>
      </w:r>
    </w:p>
    <w:p>
      <w:pPr>
        <w:spacing w:before="72" w:after="42" w:line="245" w:lineRule="auto"/>
        <w:keepLines w:val="1"/>
        <w:keepNext w:val="1"/>
      </w:pPr>
      <w:r>
        <w:rPr>
          <w:b/>
          <w:i w:val="0"/>
          <w:color w:val="0F2346"/>
          <w:sz w:val="28"/>
        </w:rPr>
        <w:t>14.  Speaker-note update record</w:t>
      </w:r>
    </w:p>
    <w:p>
      <w:pPr>
        <w:spacing w:before="0" w:after="16" w:line="245" w:lineRule="auto"/>
        <w:keepLines w:val="1"/>
      </w:pPr>
      <w:r>
        <w:rPr>
          <w:b w:val="0"/>
          <w:i w:val="0"/>
          <w:sz w:val="22"/>
        </w:rPr>
        <w:t>—  Main deck: 12 notes parts rewritten for the v5.0 narration.</w:t>
      </w:r>
    </w:p>
    <w:p>
      <w:pPr>
        <w:spacing w:before="0" w:after="16" w:line="245" w:lineRule="auto"/>
        <w:keepLines w:val="1"/>
      </w:pPr>
      <w:r>
        <w:rPr>
          <w:b w:val="0"/>
          <w:i w:val="0"/>
          <w:sz w:val="22"/>
        </w:rPr>
        <w:t>—  Reveal deck: 25 notes parts rewritten.</w:t>
      </w:r>
    </w:p>
    <w:p>
      <w:pPr>
        <w:spacing w:before="0" w:after="16" w:line="245" w:lineRule="auto"/>
        <w:keepLines w:val="1"/>
      </w:pPr>
      <w:r>
        <w:rPr>
          <w:b w:val="0"/>
          <w:i w:val="0"/>
          <w:sz w:val="22"/>
        </w:rPr>
        <w:t>—  Slide XML, geometry, typography, palette and media: UNCHANGED.</w:t>
      </w:r>
    </w:p>
    <w:p>
      <w:pPr>
        <w:spacing w:before="0" w:after="16" w:line="245" w:lineRule="auto"/>
        <w:keepLines w:val="1"/>
      </w:pPr>
      <w:r>
        <w:rPr>
          <w:b w:val="0"/>
          <w:i w:val="0"/>
          <w:sz w:val="22"/>
        </w:rPr>
        <w:t>—  Timings are working estimates at 145 words per minute for the 1,804-word script, about 12:26.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