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 w:line="283" w:lineRule="auto"/>
      </w:pPr>
      <w:r>
        <w:rPr>
          <w:b/>
          <w:i w:val="0"/>
          <w:color w:val="9B2C10"/>
          <w:sz w:val="44"/>
        </w:rPr>
        <w:t>EDITOR ONLY</w:t>
      </w:r>
    </w:p>
    <w:p>
      <w:pPr>
        <w:spacing w:before="0" w:after="32" w:line="283" w:lineRule="auto"/>
      </w:pPr>
      <w:r>
        <w:rPr>
          <w:b/>
          <w:i w:val="0"/>
          <w:caps/>
          <w:color w:val="8A6D1E"/>
          <w:sz w:val="24"/>
        </w:rPr>
        <w:t>VIDEO 3</w:t>
      </w:r>
    </w:p>
    <w:p>
      <w:pPr>
        <w:spacing w:before="0" w:after="96" w:line="264" w:lineRule="auto"/>
      </w:pPr>
      <w:r>
        <w:rPr>
          <w:b/>
          <w:i w:val="0"/>
          <w:color w:val="0F2346"/>
          <w:sz w:val="40"/>
        </w:rPr>
        <w:t>3 Things to Do Before Quitting Your Job</w:t>
      </w:r>
    </w:p>
    <w:p>
      <w:pPr>
        <w:spacing w:before="0" w:after="256" w:line="283" w:lineRule="auto"/>
        <w:shd w:val="clear" w:fill="F3F0E8"/>
      </w:pPr>
      <w:r>
        <w:rPr>
          <w:b w:val="0"/>
          <w:i/>
          <w:color w:val="5A6B82"/>
          <w:sz w:val="22"/>
        </w:rPr>
        <w:t>This document is for the editor. It is NOT Temidayo's teleprompter and must not be placed on the recording screen.</w:t>
      </w:r>
    </w:p>
    <w:p>
      <w:pPr>
        <w:spacing w:before="224" w:after="128" w:line="283" w:lineRule="auto"/>
        <w:keepLines w:val="1"/>
        <w:keepNext w:val="1"/>
      </w:pPr>
      <w:r>
        <w:rPr>
          <w:b/>
          <w:i w:val="0"/>
          <w:color w:val="0F2346"/>
          <w:sz w:val="28"/>
        </w:rPr>
        <w:t>Locked metadata</w:t>
      </w:r>
    </w:p>
    <w:p>
      <w:pPr>
        <w:spacing w:before="0" w:after="80" w:line="283" w:lineRule="auto"/>
        <w:keepLines w:val="1"/>
      </w:pPr>
      <w:r>
        <w:rPr>
          <w:b w:val="0"/>
          <w:i w:val="0"/>
          <w:sz w:val="22"/>
        </w:rPr>
        <w:t>Title:             3 Things to Do Before Quitting Your Job</w:t>
      </w:r>
    </w:p>
    <w:p>
      <w:pPr>
        <w:spacing w:before="0" w:after="80" w:line="283" w:lineRule="auto"/>
        <w:keepLines w:val="1"/>
      </w:pPr>
      <w:r>
        <w:rPr>
          <w:b w:val="0"/>
          <w:i w:val="0"/>
          <w:sz w:val="22"/>
        </w:rPr>
        <w:t>Thumbnail:         WAIT BEFORE YOU QUIT</w:t>
      </w:r>
    </w:p>
    <w:p>
      <w:pPr>
        <w:spacing w:before="0" w:after="80" w:line="283" w:lineRule="auto"/>
        <w:keepLines w:val="1"/>
      </w:pPr>
      <w:r>
        <w:rPr>
          <w:b w:val="0"/>
          <w:i w:val="0"/>
          <w:sz w:val="22"/>
        </w:rPr>
        <w:t>Primary CTA:       Career Decision Evidence Check</w:t>
      </w:r>
    </w:p>
    <w:p>
      <w:pPr>
        <w:spacing w:before="0" w:after="80" w:line="283" w:lineRule="auto"/>
        <w:keepLines w:val="1"/>
      </w:pPr>
      <w:r>
        <w:rPr>
          <w:b w:val="0"/>
          <w:i w:val="0"/>
          <w:sz w:val="22"/>
        </w:rPr>
        <w:t>CTA URL:           https://temidayoafonja.com/career-decisions</w:t>
      </w:r>
    </w:p>
    <w:p>
      <w:pPr>
        <w:spacing w:before="0" w:after="80" w:line="283" w:lineRule="auto"/>
        <w:keepLines w:val="1"/>
      </w:pPr>
      <w:r>
        <w:rPr>
          <w:b w:val="0"/>
          <w:i w:val="0"/>
          <w:sz w:val="22"/>
        </w:rPr>
        <w:t>Watch next:        How to Change Jobs Without Starting Your Career Over</w:t>
      </w:r>
    </w:p>
    <w:p>
      <w:pPr>
        <w:spacing w:before="0" w:after="80" w:line="283" w:lineRule="auto"/>
        <w:keepLines w:val="1"/>
      </w:pPr>
      <w:r>
        <w:rPr>
          <w:b w:val="0"/>
          <w:i w:val="0"/>
          <w:sz w:val="22"/>
        </w:rPr>
        <w:t>Core distinction:  Before leaving, preserve the evidence, understand what your work built in you, and test what the next move must use and build.</w:t>
      </w:r>
    </w:p>
    <w:p>
      <w:pPr>
        <w:spacing w:before="128" w:after="160" w:line="283" w:lineRule="auto"/>
        <w:shd w:val="clear" w:fill="F3F0E8"/>
        <w:keepLines w:val="1"/>
      </w:pPr>
      <w:r>
        <w:rPr>
          <w:b/>
          <w:i w:val="0"/>
          <w:color w:val="9B2C10"/>
          <w:sz w:val="22"/>
        </w:rPr>
        <w:t>PUBLICATION GATE. Do not treat Video 3 as publication-ready until https://temidayoafonja.com/career-decisions is production-live and usable. The page is confirmed live, so the gate is currently satisfied. One signed-out production check of the page is still required before Video 3 is uploaded or scheduled.</w:t>
      </w:r>
    </w:p>
    <w:p>
      <w:pPr>
        <w:spacing w:before="224" w:after="128" w:line="283" w:lineRule="auto"/>
        <w:keepLines w:val="1"/>
        <w:keepNext w:val="1"/>
      </w:pPr>
      <w:r>
        <w:rPr>
          <w:b/>
          <w:i w:val="0"/>
          <w:color w:val="0F2346"/>
          <w:sz w:val="28"/>
        </w:rPr>
        <w:t>First 30 seconds — H.I.T.</w:t>
      </w:r>
    </w:p>
    <w:p>
      <w:pPr>
        <w:spacing w:before="0" w:after="192" w:line="283" w:lineRule="auto"/>
      </w:pPr>
      <w:r>
        <w:rPr>
          <w:b w:val="0"/>
          <w:i w:val="0"/>
          <w:sz w:val="22"/>
        </w:rPr>
        <w:t>H = Hook.  I = Interest.  T = Trust. The opening must work as an audiovisual unit: immediate conversational hook, meaningful visual interest, a relevant concrete reason to trust Temidayo, a clear practical payoff inside roughly the first 20 seconds, and an immediate safety and integrity boundary. Do not force a statistic into the opening.</w:t>
      </w:r>
    </w:p>
    <w:p>
      <w:pPr>
        <w:spacing w:before="0" w:after="224" w:line="283" w:lineRule="auto"/>
      </w:pPr>
      <w:r>
        <w:rPr>
          <w:b w:val="0"/>
          <w:i/>
          <w:color w:val="5A6B82"/>
          <w:sz w:val="22"/>
        </w:rPr>
        <w:t>This supersedes the older Video 3 opening and any earlier instruction that kept Temidayo visually static or full-screen through the extended opening.</w:t>
      </w:r>
    </w:p>
    <w:p>
      <w:pPr>
        <w:spacing w:before="208" w:after="80" w:line="283" w:lineRule="auto"/>
        <w:keepLines w:val="1"/>
        <w:keepNext w:val="1"/>
      </w:pPr>
      <w:r>
        <w:rPr>
          <w:b/>
          <w:i w:val="0"/>
          <w:color w:val="0F2346"/>
          <w:sz w:val="23"/>
        </w:rPr>
        <w:t>0:00–0:08</w:t>
      </w:r>
    </w:p>
    <w:p>
      <w:pPr>
        <w:spacing w:before="0" w:after="128" w:line="283" w:lineRule="auto"/>
        <w:shd w:val="clear" w:fill="F3F0E8"/>
      </w:pPr>
      <w:r>
        <w:rPr>
          <w:b w:val="0"/>
          <w:i/>
          <w:color w:val="5A6B82"/>
          <w:sz w:val="21"/>
        </w:rPr>
        <w:t>Spoken anchor:  “If you’re going to quit your job, don’t wait until after you leave to figure out what your work actually built in you.”</w:t>
      </w:r>
    </w:p>
    <w:p>
      <w:pPr>
        <w:spacing w:before="0" w:after="96" w:line="283" w:lineRule="auto"/>
        <w:keepLines w:val="1"/>
      </w:pPr>
      <w:r>
        <w:rPr>
          <w:b/>
          <w:i w:val="0"/>
          <w:color w:val="8A6D1E"/>
          <w:sz w:val="22"/>
        </w:rPr>
        <w:t>H = HOOK</w:t>
      </w:r>
    </w:p>
    <w:p>
      <w:pPr>
        <w:spacing w:before="0" w:after="80" w:line="283" w:lineRule="auto"/>
        <w:keepLines w:val="1"/>
      </w:pPr>
      <w:r>
        <w:rPr>
          <w:b w:val="0"/>
          <w:i w:val="0"/>
          <w:sz w:val="22"/>
        </w:rPr>
        <w:t>Visual: begin on Temidayo, medium/tight, direct to camera.</w:t>
      </w:r>
    </w:p>
    <w:p>
      <w:pPr>
        <w:spacing w:before="0" w:after="80" w:line="283" w:lineRule="auto"/>
        <w:keepLines w:val="1"/>
      </w:pPr>
      <w:r>
        <w:rPr>
          <w:b w:val="0"/>
          <w:i w:val="0"/>
          <w:sz w:val="22"/>
        </w:rPr>
        <w:t>On-screen text: BEFORE YOU RESIGN…</w:t>
      </w:r>
    </w:p>
    <w:p>
      <w:pPr>
        <w:spacing w:before="0" w:after="80" w:line="283" w:lineRule="auto"/>
        <w:keepLines w:val="1"/>
      </w:pPr>
      <w:r>
        <w:rPr>
          <w:b w:val="0"/>
          <w:i w:val="0"/>
          <w:sz w:val="22"/>
        </w:rPr>
        <w:t>No title card before this. No “I QUIT” graphic. No resignation stock footage.</w:t>
      </w:r>
    </w:p>
    <w:p>
      <w:pPr>
        <w:spacing w:before="208" w:after="80" w:line="283" w:lineRule="auto"/>
        <w:keepLines w:val="1"/>
        <w:keepNext w:val="1"/>
      </w:pPr>
      <w:r>
        <w:rPr>
          <w:b/>
          <w:i w:val="0"/>
          <w:color w:val="0F2346"/>
          <w:sz w:val="23"/>
        </w:rPr>
        <w:t>0:08–0:12</w:t>
      </w:r>
    </w:p>
    <w:p>
      <w:pPr>
        <w:spacing w:before="0" w:after="128" w:line="283" w:lineRule="auto"/>
        <w:shd w:val="clear" w:fill="F3F0E8"/>
      </w:pPr>
      <w:r>
        <w:rPr>
          <w:b w:val="0"/>
          <w:i/>
          <w:color w:val="5A6B82"/>
          <w:sz w:val="21"/>
        </w:rPr>
        <w:t>Spoken anchor:  “Access changes. Systems close. People move on.”</w:t>
      </w:r>
    </w:p>
    <w:p>
      <w:pPr>
        <w:spacing w:before="0" w:after="96" w:line="283" w:lineRule="auto"/>
        <w:keepLines w:val="1"/>
      </w:pPr>
      <w:r>
        <w:rPr>
          <w:b/>
          <w:i w:val="0"/>
          <w:color w:val="8A6D1E"/>
          <w:sz w:val="22"/>
        </w:rPr>
        <w:t>I = INTEREST</w:t>
      </w:r>
    </w:p>
    <w:p>
      <w:pPr>
        <w:spacing w:before="0" w:after="80" w:line="283" w:lineRule="auto"/>
        <w:keepLines w:val="1"/>
      </w:pPr>
      <w:r>
        <w:rPr>
          <w:b w:val="0"/>
          <w:i w:val="0"/>
          <w:sz w:val="22"/>
        </w:rPr>
        <w:t>Three restrained editorial text states:  ACCESS  ·  SYSTEMS  ·  PEOPLE</w:t>
      </w:r>
    </w:p>
    <w:p>
      <w:pPr>
        <w:spacing w:before="0" w:after="80" w:line="283" w:lineRule="auto"/>
        <w:keepLines w:val="1"/>
      </w:pPr>
      <w:r>
        <w:rPr>
          <w:b w:val="0"/>
          <w:i w:val="0"/>
          <w:sz w:val="22"/>
        </w:rPr>
        <w:t>Then briefly resolve to:  HARDER TO RECONSTRUCT</w:t>
      </w:r>
    </w:p>
    <w:p>
      <w:pPr>
        <w:spacing w:before="0" w:after="80" w:line="283" w:lineRule="auto"/>
        <w:keepLines w:val="1"/>
      </w:pPr>
      <w:r>
        <w:rPr>
          <w:b w:val="0"/>
          <w:i w:val="0"/>
          <w:sz w:val="22"/>
        </w:rPr>
        <w:t>Do not use fake software screens, login pages, employee records or literal employer systems.</w:t>
      </w:r>
    </w:p>
    <w:p>
      <w:pPr>
        <w:spacing w:before="208" w:after="80" w:line="283" w:lineRule="auto"/>
        <w:keepLines w:val="1"/>
        <w:keepNext w:val="1"/>
      </w:pPr>
      <w:r>
        <w:rPr>
          <w:b/>
          <w:i w:val="0"/>
          <w:color w:val="0F2346"/>
          <w:sz w:val="23"/>
        </w:rPr>
        <w:t>0:12–0:21</w:t>
      </w:r>
    </w:p>
    <w:p>
      <w:pPr>
        <w:spacing w:before="0" w:after="128" w:line="283" w:lineRule="auto"/>
        <w:shd w:val="clear" w:fill="F3F0E8"/>
      </w:pPr>
      <w:r>
        <w:rPr>
          <w:b w:val="0"/>
          <w:i/>
          <w:color w:val="5A6B82"/>
          <w:sz w:val="21"/>
        </w:rPr>
        <w:t>Spoken anchor:  “Before you resign, check three things…”</w:t>
      </w:r>
    </w:p>
    <w:p>
      <w:pPr>
        <w:spacing w:before="0" w:after="96" w:line="283" w:lineRule="auto"/>
        <w:keepLines w:val="1"/>
      </w:pPr>
      <w:r>
        <w:rPr>
          <w:b/>
          <w:i w:val="0"/>
          <w:color w:val="8A6D1E"/>
          <w:sz w:val="22"/>
        </w:rPr>
        <w:t>PAYOFF</w:t>
      </w:r>
    </w:p>
    <w:p>
      <w:pPr>
        <w:spacing w:before="0" w:after="80" w:line="283" w:lineRule="auto"/>
        <w:keepLines w:val="1"/>
      </w:pPr>
      <w:r>
        <w:rPr>
          <w:b w:val="0"/>
          <w:i w:val="0"/>
          <w:sz w:val="22"/>
        </w:rPr>
        <w:t>Brief progressive preview:</w:t>
      </w:r>
    </w:p>
    <w:p>
      <w:pPr>
        <w:spacing w:before="0" w:after="80" w:line="283" w:lineRule="auto"/>
        <w:keepLines w:val="1"/>
      </w:pPr>
      <w:r>
        <w:rPr>
          <w:b w:val="0"/>
          <w:i w:val="0"/>
          <w:sz w:val="22"/>
        </w:rPr>
        <w:t xml:space="preserve">     PRESERVE THE EVIDENCE</w:t>
      </w:r>
    </w:p>
    <w:p>
      <w:pPr>
        <w:spacing w:before="0" w:after="80" w:line="283" w:lineRule="auto"/>
        <w:keepLines w:val="1"/>
      </w:pPr>
      <w:r>
        <w:rPr>
          <w:b w:val="0"/>
          <w:i w:val="0"/>
          <w:sz w:val="22"/>
        </w:rPr>
        <w:t xml:space="preserve">     NAME WHAT YOUR WORK BUILT</w:t>
      </w:r>
    </w:p>
    <w:p>
      <w:pPr>
        <w:spacing w:before="0" w:after="80" w:line="283" w:lineRule="auto"/>
        <w:keepLines w:val="1"/>
      </w:pPr>
      <w:r>
        <w:rPr>
          <w:b w:val="0"/>
          <w:i w:val="0"/>
          <w:sz w:val="22"/>
        </w:rPr>
        <w:t xml:space="preserve">     TEST THE NEXT MOVE</w:t>
      </w:r>
    </w:p>
    <w:p>
      <w:pPr>
        <w:spacing w:before="0" w:after="80" w:line="283" w:lineRule="auto"/>
        <w:keepLines w:val="1"/>
      </w:pPr>
      <w:r>
        <w:rPr>
          <w:b w:val="0"/>
          <w:i w:val="0"/>
          <w:sz w:val="22"/>
        </w:rPr>
        <w:t>This is a micro-preview only. Do not replace or redesign the existing recap slide.</w:t>
      </w:r>
    </w:p>
    <w:p>
      <w:pPr>
        <w:spacing w:before="208" w:after="80" w:line="283" w:lineRule="auto"/>
        <w:keepLines w:val="1"/>
        <w:keepNext w:val="1"/>
      </w:pPr>
      <w:r>
        <w:rPr>
          <w:b/>
          <w:i w:val="0"/>
          <w:color w:val="0F2346"/>
          <w:sz w:val="23"/>
        </w:rPr>
        <w:t>0:21–0:29</w:t>
      </w:r>
    </w:p>
    <w:p>
      <w:pPr>
        <w:spacing w:before="0" w:after="128" w:line="283" w:lineRule="auto"/>
        <w:shd w:val="clear" w:fill="F3F0E8"/>
      </w:pPr>
      <w:r>
        <w:rPr>
          <w:b w:val="0"/>
          <w:i/>
          <w:color w:val="5A6B82"/>
          <w:sz w:val="21"/>
        </w:rPr>
        <w:t>Spoken anchor:  “I’ve worked inside systems where performance and talent decisions are documented…”</w:t>
      </w:r>
    </w:p>
    <w:p>
      <w:pPr>
        <w:spacing w:before="0" w:after="96" w:line="283" w:lineRule="auto"/>
        <w:keepLines w:val="1"/>
      </w:pPr>
      <w:r>
        <w:rPr>
          <w:b/>
          <w:i w:val="0"/>
          <w:color w:val="8A6D1E"/>
          <w:sz w:val="22"/>
        </w:rPr>
        <w:t>T = TRUST</w:t>
      </w:r>
    </w:p>
    <w:p>
      <w:pPr>
        <w:spacing w:before="0" w:after="80" w:line="283" w:lineRule="auto"/>
        <w:keepLines w:val="1"/>
      </w:pPr>
      <w:r>
        <w:rPr>
          <w:b w:val="0"/>
          <w:i w:val="0"/>
          <w:sz w:val="22"/>
        </w:rPr>
        <w:t>Return cleanly to Temidayo. Keep this visual treatment simple.</w:t>
      </w:r>
    </w:p>
    <w:p>
      <w:pPr>
        <w:spacing w:before="0" w:after="80" w:line="283" w:lineRule="auto"/>
        <w:keepLines w:val="1"/>
      </w:pPr>
      <w:r>
        <w:rPr>
          <w:b w:val="0"/>
          <w:i w:val="0"/>
          <w:sz w:val="22"/>
        </w:rPr>
        <w:t>Do not add résumé graphics, employer logos or a career montage.</w:t>
      </w:r>
    </w:p>
    <w:p>
      <w:pPr>
        <w:spacing w:before="0" w:after="80" w:line="283" w:lineRule="auto"/>
        <w:keepLines w:val="1"/>
      </w:pPr>
      <w:r>
        <w:rPr>
          <w:b w:val="0"/>
          <w:i w:val="0"/>
          <w:sz w:val="22"/>
        </w:rPr>
        <w:t>This proof is specifically about Temidayo's relevant organizational experience.</w:t>
      </w:r>
    </w:p>
    <w:p>
      <w:pPr>
        <w:spacing w:before="0" w:after="80" w:line="283" w:lineRule="auto"/>
        <w:keepLines w:val="1"/>
      </w:pPr>
      <w:r>
        <w:rPr>
          <w:b w:val="0"/>
          <w:i w:val="0"/>
          <w:sz w:val="22"/>
        </w:rPr>
        <w:t>Do not imply that Temidayo personally watched a named employee lose evidence, that she witnessed a specific person regret leaving, or any undocumented anecdote.</w:t>
      </w:r>
    </w:p>
    <w:p>
      <w:pPr>
        <w:spacing w:before="208" w:after="80" w:line="283" w:lineRule="auto"/>
        <w:keepLines w:val="1"/>
        <w:keepNext w:val="1"/>
      </w:pPr>
      <w:r>
        <w:rPr>
          <w:b/>
          <w:i w:val="0"/>
          <w:color w:val="0F2346"/>
          <w:sz w:val="23"/>
        </w:rPr>
        <w:t>~0:29 onward</w:t>
      </w:r>
    </w:p>
    <w:p>
      <w:pPr>
        <w:spacing w:before="0" w:after="128" w:line="283" w:lineRule="auto"/>
        <w:shd w:val="clear" w:fill="F3F0E8"/>
      </w:pPr>
      <w:r>
        <w:rPr>
          <w:b w:val="0"/>
          <w:i/>
          <w:color w:val="5A6B82"/>
          <w:sz w:val="21"/>
        </w:rPr>
        <w:t>Spoken anchor:  “And if your health or safety is at risk, this is not a reason to wait.”</w:t>
      </w:r>
    </w:p>
    <w:p>
      <w:pPr>
        <w:spacing w:before="0" w:after="96" w:line="283" w:lineRule="auto"/>
        <w:keepLines w:val="1"/>
      </w:pPr>
      <w:r>
        <w:rPr>
          <w:b/>
          <w:i w:val="0"/>
          <w:color w:val="8A6D1E"/>
          <w:sz w:val="22"/>
        </w:rPr>
        <w:t>INTEGRITY / SAFETY</w:t>
      </w:r>
    </w:p>
    <w:p>
      <w:pPr>
        <w:spacing w:before="0" w:after="80" w:line="283" w:lineRule="auto"/>
        <w:keepLines w:val="1"/>
      </w:pPr>
      <w:r>
        <w:rPr>
          <w:b w:val="0"/>
          <w:i w:val="0"/>
          <w:sz w:val="22"/>
        </w:rPr>
        <w:t>Stay on Temidayo.</w:t>
      </w:r>
    </w:p>
    <w:p>
      <w:pPr>
        <w:spacing w:before="0" w:after="80" w:line="283" w:lineRule="auto"/>
        <w:keepLines w:val="1"/>
      </w:pPr>
      <w:r>
        <w:rPr>
          <w:b w:val="0"/>
          <w:i w:val="0"/>
          <w:sz w:val="22"/>
        </w:rPr>
        <w:t>No dramatic music or visual warning effect.</w:t>
      </w:r>
    </w:p>
    <w:p>
      <w:pPr>
        <w:spacing w:before="0" w:after="80" w:line="283" w:lineRule="auto"/>
        <w:keepLines w:val="1"/>
      </w:pPr>
      <w:r>
        <w:rPr>
          <w:b w:val="0"/>
          <w:i w:val="0"/>
          <w:sz w:val="22"/>
        </w:rPr>
        <w:t>The fuller safety boundary follows in the body.</w:t>
      </w:r>
    </w:p>
    <w:p>
      <w:pPr>
        <w:spacing w:before="224" w:after="128" w:line="283" w:lineRule="auto"/>
        <w:keepLines w:val="1"/>
        <w:keepNext w:val="1"/>
      </w:pPr>
      <w:r>
        <w:rPr>
          <w:b/>
          <w:i w:val="0"/>
          <w:color w:val="0F2346"/>
          <w:sz w:val="28"/>
        </w:rPr>
        <w:t>Editorial rhythm after the opening</w:t>
      </w:r>
    </w:p>
    <w:p>
      <w:pPr>
        <w:spacing w:before="0" w:after="160" w:line="283" w:lineRule="auto"/>
      </w:pPr>
      <w:r>
        <w:rPr>
          <w:b w:val="0"/>
          <w:i w:val="0"/>
          <w:sz w:val="22"/>
        </w:rPr>
        <w:t>The first roughly 30 seconds may be more visually active than the remainder. Do NOT read H.I.T. as permission for constant motion.</w:t>
      </w:r>
    </w:p>
    <w:p>
      <w:pPr>
        <w:spacing w:before="0" w:after="96" w:line="283" w:lineRule="auto"/>
      </w:pPr>
      <w:r>
        <w:rPr>
          <w:b w:val="0"/>
          <w:i w:val="0"/>
          <w:sz w:val="22"/>
        </w:rPr>
        <w:t>Once the viewer is inside the teaching:</w:t>
      </w:r>
    </w:p>
    <w:p>
      <w:pPr>
        <w:spacing w:before="0" w:after="64" w:line="283" w:lineRule="auto"/>
        <w:keepLines w:val="1"/>
      </w:pPr>
      <w:r>
        <w:rPr>
          <w:b w:val="0"/>
          <w:i w:val="0"/>
          <w:sz w:val="22"/>
        </w:rPr>
        <w:t>—  preserve Temidayo's natural pacing;</w:t>
      </w:r>
    </w:p>
    <w:p>
      <w:pPr>
        <w:spacing w:before="0" w:after="64" w:line="283" w:lineRule="auto"/>
        <w:keepLines w:val="1"/>
      </w:pPr>
      <w:r>
        <w:rPr>
          <w:b w:val="0"/>
          <w:i w:val="0"/>
          <w:sz w:val="22"/>
        </w:rPr>
        <w:t>—  use the existing slides as teaching support;</w:t>
      </w:r>
    </w:p>
    <w:p>
      <w:pPr>
        <w:spacing w:before="0" w:after="64" w:line="283" w:lineRule="auto"/>
        <w:keepLines w:val="1"/>
      </w:pPr>
      <w:r>
        <w:rPr>
          <w:b w:val="0"/>
          <w:i w:val="0"/>
          <w:sz w:val="22"/>
        </w:rPr>
        <w:t>—  allow reflective pauses;</w:t>
      </w:r>
    </w:p>
    <w:p>
      <w:pPr>
        <w:spacing w:before="0" w:after="64" w:line="283" w:lineRule="auto"/>
        <w:keepLines w:val="1"/>
      </w:pPr>
      <w:r>
        <w:rPr>
          <w:b w:val="0"/>
          <w:i w:val="0"/>
          <w:sz w:val="22"/>
        </w:rPr>
        <w:t>—  avoid constant punch-ins;</w:t>
      </w:r>
    </w:p>
    <w:p>
      <w:pPr>
        <w:spacing w:before="0" w:after="64" w:line="283" w:lineRule="auto"/>
        <w:keepLines w:val="1"/>
      </w:pPr>
      <w:r>
        <w:rPr>
          <w:b w:val="0"/>
          <w:i w:val="0"/>
          <w:sz w:val="22"/>
        </w:rPr>
        <w:t>—  avoid generic corporate B-roll;</w:t>
      </w:r>
    </w:p>
    <w:p>
      <w:pPr>
        <w:spacing w:before="0" w:after="64" w:line="283" w:lineRule="auto"/>
        <w:keepLines w:val="1"/>
      </w:pPr>
      <w:r>
        <w:rPr>
          <w:b w:val="0"/>
          <w:i w:val="0"/>
          <w:sz w:val="22"/>
        </w:rPr>
        <w:t>—  avoid stock resignation scenes;</w:t>
      </w:r>
    </w:p>
    <w:p>
      <w:pPr>
        <w:spacing w:before="0" w:after="64" w:line="283" w:lineRule="auto"/>
        <w:keepLines w:val="1"/>
      </w:pPr>
      <w:r>
        <w:rPr>
          <w:b w:val="0"/>
          <w:i w:val="0"/>
          <w:sz w:val="22"/>
        </w:rPr>
        <w:t>—  avoid firing or layoff imagery;</w:t>
      </w:r>
    </w:p>
    <w:p>
      <w:pPr>
        <w:spacing w:before="0" w:after="64" w:line="283" w:lineRule="auto"/>
        <w:keepLines w:val="1"/>
      </w:pPr>
      <w:r>
        <w:rPr>
          <w:b w:val="0"/>
          <w:i w:val="0"/>
          <w:sz w:val="22"/>
        </w:rPr>
        <w:t>—  avoid red warning graphics;</w:t>
      </w:r>
    </w:p>
    <w:p>
      <w:pPr>
        <w:spacing w:before="0" w:after="64" w:line="283" w:lineRule="auto"/>
        <w:keepLines w:val="1"/>
      </w:pPr>
      <w:r>
        <w:rPr>
          <w:b w:val="0"/>
          <w:i w:val="0"/>
          <w:sz w:val="22"/>
        </w:rPr>
        <w:t>—  avoid countdown clocks;</w:t>
      </w:r>
    </w:p>
    <w:p>
      <w:pPr>
        <w:spacing w:before="0" w:after="64" w:line="283" w:lineRule="auto"/>
        <w:keepLines w:val="1"/>
      </w:pPr>
      <w:r>
        <w:rPr>
          <w:b w:val="0"/>
          <w:i w:val="0"/>
          <w:sz w:val="22"/>
        </w:rPr>
        <w:t>—  avoid fake HR or employer screens;</w:t>
      </w:r>
    </w:p>
    <w:p>
      <w:pPr>
        <w:spacing w:before="0" w:after="64" w:line="283" w:lineRule="auto"/>
        <w:keepLines w:val="1"/>
      </w:pPr>
      <w:r>
        <w:rPr>
          <w:b w:val="0"/>
          <w:i w:val="0"/>
          <w:sz w:val="22"/>
        </w:rPr>
        <w:t>—  avoid boxes being carried out of an office;</w:t>
      </w:r>
    </w:p>
    <w:p>
      <w:pPr>
        <w:spacing w:before="0" w:after="64" w:line="283" w:lineRule="auto"/>
        <w:keepLines w:val="1"/>
      </w:pPr>
      <w:r>
        <w:rPr>
          <w:b w:val="0"/>
          <w:i w:val="0"/>
          <w:sz w:val="22"/>
        </w:rPr>
        <w:t>—  avoid flashy transitions.</w:t>
      </w:r>
    </w:p>
    <w:p>
      <w:pPr>
        <w:spacing w:before="128" w:after="160" w:line="283" w:lineRule="auto"/>
      </w:pPr>
      <w:r>
        <w:rPr>
          <w:b w:val="0"/>
          <w:i w:val="0"/>
          <w:sz w:val="22"/>
        </w:rPr>
        <w:t>The edit should feel calm, premium, specific and editorial.</w:t>
      </w:r>
    </w:p>
    <w:p>
      <w:pPr>
        <w:spacing w:before="224" w:after="128" w:line="283" w:lineRule="auto"/>
        <w:keepLines w:val="1"/>
        <w:keepNext w:val="1"/>
      </w:pPr>
      <w:r>
        <w:rPr>
          <w:b/>
          <w:i w:val="0"/>
          <w:color w:val="0F2346"/>
          <w:sz w:val="28"/>
        </w:rPr>
        <w:t>Existing slides</w:t>
      </w:r>
    </w:p>
    <w:p>
      <w:pPr>
        <w:spacing w:before="0" w:after="128" w:line="283" w:lineRule="auto"/>
      </w:pPr>
      <w:r>
        <w:rPr>
          <w:b w:val="0"/>
          <w:i w:val="0"/>
          <w:sz w:val="22"/>
        </w:rPr>
        <w:t>The existing 13-slide Video 3 deck remains UNCHANGED. Do not add, delete, redesign or reorder slides.</w:t>
      </w:r>
    </w:p>
    <w:p>
      <w:pPr>
        <w:spacing w:before="0" w:after="48" w:line="283" w:lineRule="auto"/>
        <w:keepLines w:val="1"/>
      </w:pPr>
      <w:r>
        <w:rPr>
          <w:b w:val="0"/>
          <w:i w:val="0"/>
          <w:sz w:val="21"/>
        </w:rPr>
        <w:t>Slide 1   Title</w:t>
      </w:r>
    </w:p>
    <w:p>
      <w:pPr>
        <w:spacing w:before="0" w:after="48" w:line="283" w:lineRule="auto"/>
        <w:keepLines w:val="1"/>
      </w:pPr>
      <w:r>
        <w:rPr>
          <w:b w:val="0"/>
          <w:i w:val="0"/>
          <w:sz w:val="21"/>
        </w:rPr>
        <w:t>Slide 2   Once You Leave, Access Changes</w:t>
      </w:r>
    </w:p>
    <w:p>
      <w:pPr>
        <w:spacing w:before="0" w:after="48" w:line="283" w:lineRule="auto"/>
        <w:keepLines w:val="1"/>
      </w:pPr>
      <w:r>
        <w:rPr>
          <w:b w:val="0"/>
          <w:i w:val="0"/>
          <w:sz w:val="21"/>
        </w:rPr>
        <w:t>Slide 3   01 Preserve the Evidence</w:t>
      </w:r>
    </w:p>
    <w:p>
      <w:pPr>
        <w:spacing w:before="0" w:after="48" w:line="283" w:lineRule="auto"/>
        <w:keepLines w:val="1"/>
      </w:pPr>
      <w:r>
        <w:rPr>
          <w:b w:val="0"/>
          <w:i w:val="0"/>
          <w:sz w:val="21"/>
        </w:rPr>
        <w:t>Slide 4   What to Keep / What Not to Take</w:t>
      </w:r>
    </w:p>
    <w:p>
      <w:pPr>
        <w:spacing w:before="0" w:after="48" w:line="283" w:lineRule="auto"/>
        <w:keepLines w:val="1"/>
      </w:pPr>
      <w:r>
        <w:rPr>
          <w:b w:val="0"/>
          <w:i w:val="0"/>
          <w:sz w:val="21"/>
        </w:rPr>
        <w:t>Slide 5   02 Name What Your Work Built</w:t>
      </w:r>
    </w:p>
    <w:p>
      <w:pPr>
        <w:spacing w:before="0" w:after="48" w:line="283" w:lineRule="auto"/>
        <w:keepLines w:val="1"/>
      </w:pPr>
      <w:r>
        <w:rPr>
          <w:b w:val="0"/>
          <w:i w:val="0"/>
          <w:sz w:val="21"/>
        </w:rPr>
        <w:t>Slide 6   Problem / Constraint / Judgment / Outcome</w:t>
      </w:r>
    </w:p>
    <w:p>
      <w:pPr>
        <w:spacing w:before="0" w:after="48" w:line="283" w:lineRule="auto"/>
        <w:keepLines w:val="1"/>
      </w:pPr>
      <w:r>
        <w:rPr>
          <w:b w:val="0"/>
          <w:i w:val="0"/>
          <w:sz w:val="21"/>
        </w:rPr>
        <w:t>Slide 7   03 Test the Next Move</w:t>
      </w:r>
    </w:p>
    <w:p>
      <w:pPr>
        <w:spacing w:before="0" w:after="48" w:line="283" w:lineRule="auto"/>
        <w:keepLines w:val="1"/>
      </w:pPr>
      <w:r>
        <w:rPr>
          <w:b w:val="0"/>
          <w:i w:val="0"/>
          <w:sz w:val="21"/>
        </w:rPr>
        <w:t>Slide 8   Uses Something Proven / Builds Something New</w:t>
      </w:r>
    </w:p>
    <w:p>
      <w:pPr>
        <w:spacing w:before="0" w:after="48" w:line="283" w:lineRule="auto"/>
        <w:keepLines w:val="1"/>
      </w:pPr>
      <w:r>
        <w:rPr>
          <w:b w:val="0"/>
          <w:i w:val="0"/>
          <w:sz w:val="21"/>
        </w:rPr>
        <w:t>Slide 9   The Three Checks</w:t>
      </w:r>
    </w:p>
    <w:p>
      <w:pPr>
        <w:spacing w:before="0" w:after="48" w:line="283" w:lineRule="auto"/>
        <w:keepLines w:val="1"/>
      </w:pPr>
      <w:r>
        <w:rPr>
          <w:b w:val="0"/>
          <w:i w:val="0"/>
          <w:sz w:val="21"/>
        </w:rPr>
        <w:t>Slide 10  Decision Reading</w:t>
      </w:r>
    </w:p>
    <w:p>
      <w:pPr>
        <w:spacing w:before="0" w:after="48" w:line="283" w:lineRule="auto"/>
        <w:keepLines w:val="1"/>
      </w:pPr>
      <w:r>
        <w:rPr>
          <w:b w:val="0"/>
          <w:i w:val="0"/>
          <w:sz w:val="21"/>
        </w:rPr>
        <w:t>Slide 11  Before You Resign</w:t>
      </w:r>
    </w:p>
    <w:p>
      <w:pPr>
        <w:spacing w:before="0" w:after="48" w:line="283" w:lineRule="auto"/>
        <w:keepLines w:val="1"/>
      </w:pPr>
      <w:r>
        <w:rPr>
          <w:b w:val="0"/>
          <w:i w:val="0"/>
          <w:sz w:val="21"/>
        </w:rPr>
        <w:t>Slide 12  Career Decision Evidence Check</w:t>
      </w:r>
    </w:p>
    <w:p>
      <w:pPr>
        <w:spacing w:before="0" w:after="48" w:line="283" w:lineRule="auto"/>
        <w:keepLines w:val="1"/>
      </w:pPr>
      <w:r>
        <w:rPr>
          <w:b w:val="0"/>
          <w:i w:val="0"/>
          <w:sz w:val="21"/>
        </w:rPr>
        <w:t>Slide 13  Watch Next</w:t>
      </w:r>
    </w:p>
    <w:p>
      <w:pPr>
        <w:spacing w:before="160" w:after="160" w:line="283" w:lineRule="auto"/>
        <w:shd w:val="clear" w:fill="F3F0E8"/>
        <w:keepLines w:val="1"/>
      </w:pPr>
      <w:r>
        <w:rPr>
          <w:b/>
          <w:i w:val="0"/>
          <w:color w:val="0F2346"/>
          <w:sz w:val="21"/>
        </w:rPr>
        <w:t>REVIEWED AND INTENTIONALLY RETAINED. Slides 5 and 6 use the conceptual heading “Name what the work built.” The spoken script addresses the viewer directly with “Name what your work built.” No slide change is required.</w:t>
      </w:r>
    </w:p>
    <w:p>
      <w:pPr>
        <w:spacing w:before="224" w:after="128" w:line="283" w:lineRule="auto"/>
        <w:keepLines w:val="1"/>
        <w:keepNext w:val="1"/>
      </w:pPr>
      <w:r>
        <w:rPr>
          <w:b/>
          <w:i w:val="0"/>
          <w:color w:val="0F2346"/>
          <w:sz w:val="28"/>
        </w:rPr>
        <w:t>Let the slide carry lists</w:t>
      </w:r>
    </w:p>
    <w:p>
      <w:pPr>
        <w:spacing w:before="0" w:after="128" w:line="283" w:lineRule="auto"/>
      </w:pPr>
      <w:r>
        <w:rPr>
          <w:b w:val="0"/>
          <w:i w:val="0"/>
          <w:sz w:val="22"/>
        </w:rPr>
        <w:t>When a visual can carry factual or list information efficiently, Temidayo does not need to narrate every item. Do not add spoken lines to compensate for slide copy.</w:t>
      </w:r>
    </w:p>
    <w:p>
      <w:pPr>
        <w:spacing w:before="0" w:after="80" w:line="283" w:lineRule="auto"/>
        <w:keepLines w:val="1"/>
      </w:pPr>
      <w:r>
        <w:rPr>
          <w:b w:val="0"/>
          <w:i w:val="0"/>
          <w:sz w:val="22"/>
        </w:rPr>
        <w:t>Slide 4 — What to Keep / What Not to Take. Temidayo states the governing rule; the slide carries the supporting examples.</w:t>
      </w:r>
    </w:p>
    <w:p>
      <w:pPr>
        <w:spacing w:before="0" w:after="128" w:line="283" w:lineRule="auto"/>
        <w:keepLines w:val="1"/>
      </w:pPr>
      <w:r>
        <w:rPr>
          <w:b w:val="0"/>
          <w:i w:val="0"/>
          <w:sz w:val="22"/>
        </w:rPr>
        <w:t>Slide 6 — Problem / Constraint / Judgment / Outcome. Temidayo does not read every label mechanically. The slide provides the structure while the spoken script carries judgment and meaning.</w:t>
      </w:r>
    </w:p>
    <w:p>
      <w:pPr>
        <w:spacing w:before="224" w:after="128" w:line="283" w:lineRule="auto"/>
        <w:keepLines w:val="1"/>
        <w:keepNext w:val="1"/>
      </w:pPr>
      <w:r>
        <w:rPr>
          <w:b/>
          <w:i w:val="0"/>
          <w:color w:val="0F2346"/>
          <w:sz w:val="28"/>
        </w:rPr>
        <w:t>Safety and evidence boundaries</w:t>
      </w:r>
    </w:p>
    <w:p>
      <w:pPr>
        <w:spacing w:before="0" w:after="128" w:line="283" w:lineRule="auto"/>
        <w:keepLines w:val="1"/>
      </w:pPr>
      <w:r>
        <w:rPr>
          <w:b/>
          <w:i w:val="0"/>
          <w:sz w:val="22"/>
        </w:rPr>
        <w:t>Preserve the safety boundary exactly as written. Do not visually or editorially imply that viewers should delay leaving unsafe work, harassment, discrimination or another urgent threat.</w:t>
      </w:r>
    </w:p>
    <w:p>
      <w:pPr>
        <w:spacing w:before="0" w:after="128" w:line="283" w:lineRule="auto"/>
      </w:pPr>
      <w:r>
        <w:rPr>
          <w:b w:val="0"/>
          <w:i w:val="0"/>
          <w:sz w:val="22"/>
        </w:rPr>
        <w:t>Evidence preservation is NOT permission to remove employer property. Do not suggest downloading confidential files, forwarding employer documents, retaining customer or employee data, taking proprietary material, or bypassing employer policies or controls.</w:t>
      </w:r>
    </w:p>
    <w:p>
      <w:pPr>
        <w:spacing w:before="0" w:after="160" w:line="283" w:lineRule="auto"/>
        <w:keepLines w:val="1"/>
      </w:pPr>
      <w:r>
        <w:rPr>
          <w:b w:val="0"/>
          <w:i/>
          <w:sz w:val="22"/>
        </w:rPr>
        <w:t>Keep the framing: a permitted record of the viewer's own contribution, in their own words, using information they are entitled to retain.</w:t>
      </w:r>
    </w:p>
    <w:p>
      <w:pPr>
        <w:spacing w:before="224" w:after="128" w:line="283" w:lineRule="auto"/>
        <w:keepLines w:val="1"/>
        <w:keepNext w:val="1"/>
      </w:pPr>
      <w:r>
        <w:rPr>
          <w:b/>
          <w:i w:val="0"/>
          <w:color w:val="0F2346"/>
          <w:sz w:val="28"/>
        </w:rPr>
        <w:t>CTA and watch next</w:t>
      </w:r>
    </w:p>
    <w:p>
      <w:pPr>
        <w:spacing w:before="0" w:after="80" w:line="283" w:lineRule="auto"/>
        <w:keepLines w:val="1"/>
      </w:pPr>
      <w:r>
        <w:rPr>
          <w:b w:val="0"/>
          <w:i w:val="0"/>
          <w:sz w:val="22"/>
        </w:rPr>
        <w:t>One product or resource CTA only: Career Decision Evidence Check — https://temidayoafonja.com/career-decisions</w:t>
      </w:r>
    </w:p>
    <w:p>
      <w:pPr>
        <w:spacing w:before="0" w:after="128" w:line="283" w:lineRule="auto"/>
        <w:keepLines w:val="1"/>
      </w:pPr>
      <w:r>
        <w:rPr>
          <w:b/>
          <w:i w:val="0"/>
          <w:sz w:val="22"/>
        </w:rPr>
        <w:t>Do not add the Capability Formation Field Kit, Keep the Proof, the book, the newsletter or any other product.</w:t>
      </w:r>
    </w:p>
    <w:p>
      <w:pPr>
        <w:spacing w:before="0" w:after="96" w:line="283" w:lineRule="auto"/>
        <w:keepLines w:val="1"/>
      </w:pPr>
      <w:r>
        <w:rPr>
          <w:b w:val="0"/>
          <w:i w:val="0"/>
          <w:sz w:val="22"/>
        </w:rPr>
        <w:t>Watch next: route to How to Change Jobs Without Starting Your Career Over. Use Video 1 as the intended clickable direct-video route where available.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