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 w:line="250" w:lineRule="auto"/>
      </w:pPr>
      <w:r>
        <w:rPr>
          <w:b/>
          <w:i w:val="0"/>
          <w:color w:val="9B2C10"/>
          <w:sz w:val="44"/>
        </w:rPr>
        <w:t>EDITOR ONLY</w:t>
      </w:r>
    </w:p>
    <w:p>
      <w:pPr>
        <w:spacing w:before="0" w:after="12" w:line="250" w:lineRule="auto"/>
      </w:pPr>
      <w:r>
        <w:rPr>
          <w:b/>
          <w:i w:val="0"/>
          <w:caps/>
          <w:color w:val="8A6D1E"/>
          <w:sz w:val="24"/>
        </w:rPr>
        <w:t>VIDEO 1  ·  v5.0 BELONGING + IDENTITY</w:t>
      </w:r>
    </w:p>
    <w:p>
      <w:pPr>
        <w:spacing w:before="0" w:after="36" w:line="250" w:lineRule="auto"/>
      </w:pPr>
      <w:r>
        <w:rPr>
          <w:b/>
          <w:i w:val="0"/>
          <w:color w:val="0F2346"/>
          <w:sz w:val="40"/>
        </w:rPr>
        <w:t>How to Change Jobs Without Starting Your Career Over</w:t>
      </w:r>
    </w:p>
    <w:p>
      <w:pPr>
        <w:spacing w:before="0" w:after="96" w:line="250" w:lineRule="auto"/>
        <w:shd w:val="clear" w:fill="F3F0E8"/>
      </w:pPr>
      <w:r>
        <w:rPr>
          <w:b w:val="0"/>
          <w:i/>
          <w:color w:val="5A6B82"/>
          <w:sz w:val="22"/>
        </w:rPr>
        <w:t>This document is for the editor. It is NOT Temidayo's teleprompter and must not be placed on the recording screen.</w:t>
      </w:r>
    </w:p>
    <w:p>
      <w:pPr>
        <w:spacing w:before="84" w:after="48" w:line="250" w:lineRule="auto"/>
        <w:keepLines w:val="1"/>
        <w:keepNext w:val="1"/>
      </w:pPr>
      <w:r>
        <w:rPr>
          <w:b/>
          <w:i w:val="0"/>
          <w:color w:val="0F2346"/>
          <w:sz w:val="28"/>
        </w:rPr>
        <w:t>1.  Locked metadata</w:t>
      </w:r>
    </w:p>
    <w:p>
      <w:pPr>
        <w:spacing w:before="0" w:after="30" w:line="250" w:lineRule="auto"/>
        <w:keepLines w:val="1"/>
      </w:pPr>
      <w:r>
        <w:rPr>
          <w:b w:val="0"/>
          <w:i w:val="0"/>
          <w:sz w:val="22"/>
        </w:rPr>
        <w:t>Public title:            How to Change Jobs Without Starting Your Career Over</w:t>
      </w:r>
    </w:p>
    <w:p>
      <w:pPr>
        <w:spacing w:before="0" w:after="30" w:line="250" w:lineRule="auto"/>
        <w:keepLines w:val="1"/>
      </w:pPr>
      <w:r>
        <w:rPr>
          <w:b w:val="0"/>
          <w:i w:val="0"/>
          <w:sz w:val="22"/>
        </w:rPr>
        <w:t>On-screen deck title:    How I Changed Jobs Without Starting My Career Over</w:t>
      </w:r>
    </w:p>
    <w:p>
      <w:pPr>
        <w:spacing w:before="0" w:after="30" w:line="250" w:lineRule="auto"/>
        <w:keepLines w:val="1"/>
      </w:pPr>
      <w:r>
        <w:rPr>
          <w:b w:val="0"/>
          <w:i w:val="0"/>
          <w:sz w:val="22"/>
        </w:rPr>
        <w:t>Thumbnail:               DON’T START FROM ZERO</w:t>
      </w:r>
    </w:p>
    <w:p>
      <w:pPr>
        <w:spacing w:before="0" w:after="30" w:line="250" w:lineRule="auto"/>
        <w:keepLines w:val="1"/>
      </w:pPr>
      <w:r>
        <w:rPr>
          <w:b w:val="0"/>
          <w:i w:val="0"/>
          <w:sz w:val="22"/>
        </w:rPr>
        <w:t>Primary search phrase:   how to change jobs without starting over</w:t>
      </w:r>
    </w:p>
    <w:p>
      <w:pPr>
        <w:spacing w:before="0" w:after="30" w:line="250" w:lineRule="auto"/>
        <w:keepLines w:val="1"/>
      </w:pPr>
      <w:r>
        <w:rPr>
          <w:b w:val="0"/>
          <w:i w:val="0"/>
          <w:sz w:val="22"/>
        </w:rPr>
        <w:t>Primary CTA:             Free Career Evidence Starter</w:t>
      </w:r>
    </w:p>
    <w:p>
      <w:pPr>
        <w:spacing w:before="0" w:after="30" w:line="250" w:lineRule="auto"/>
        <w:keepLines w:val="1"/>
      </w:pPr>
      <w:r>
        <w:rPr>
          <w:b w:val="0"/>
          <w:i w:val="0"/>
          <w:sz w:val="22"/>
        </w:rPr>
        <w:t>CTA URL:                 https://temidayoafonja.com/career-evidence-starter</w:t>
      </w:r>
    </w:p>
    <w:p>
      <w:pPr>
        <w:spacing w:before="0" w:after="30" w:line="250" w:lineRule="auto"/>
        <w:keepLines w:val="1"/>
      </w:pPr>
      <w:r>
        <w:rPr>
          <w:b w:val="0"/>
          <w:i w:val="0"/>
          <w:sz w:val="22"/>
        </w:rPr>
        <w:t>Watch next:              Video 2 — Is Your Job Making You Less Marketable?</w:t>
      </w:r>
    </w:p>
    <w:p>
      <w:pPr>
        <w:spacing w:before="0" w:after="30" w:line="250" w:lineRule="auto"/>
        <w:keepLines w:val="1"/>
      </w:pPr>
      <w:r>
        <w:rPr>
          <w:b w:val="0"/>
          <w:i w:val="0"/>
          <w:sz w:val="22"/>
        </w:rPr>
        <w:t>Memory device:           The three practices. No acronym, no second framework.</w:t>
      </w:r>
    </w:p>
    <w:p>
      <w:pPr>
        <w:spacing w:before="0" w:after="36" w:line="250" w:lineRule="auto"/>
        <w:keepLines w:val="1"/>
      </w:pPr>
      <w:r>
        <w:rPr>
          <w:b/>
          <w:i w:val="0"/>
          <w:sz w:val="22"/>
        </w:rPr>
        <w:t>The two titles differ intentionally. Do not change the title slide to match the public title.</w:t>
      </w:r>
    </w:p>
    <w:p>
      <w:pPr>
        <w:spacing w:before="0" w:after="48" w:line="250" w:lineRule="auto"/>
        <w:keepLines w:val="1"/>
      </w:pPr>
      <w:r>
        <w:rPr>
          <w:b/>
          <w:i w:val="0"/>
          <w:color w:val="9B2C10"/>
          <w:sz w:val="22"/>
        </w:rPr>
        <w:t>Do not add the Capability Formation Field Kit, Keep the Proof or the Career Evidence 3 Cs to this video.</w:t>
      </w:r>
    </w:p>
    <w:p>
      <w:pPr>
        <w:spacing w:before="84" w:after="48" w:line="250" w:lineRule="auto"/>
        <w:keepLines w:val="1"/>
        <w:keepNext w:val="1"/>
      </w:pPr>
      <w:r>
        <w:rPr>
          <w:b/>
          <w:i w:val="0"/>
          <w:color w:val="0F2346"/>
          <w:sz w:val="28"/>
        </w:rPr>
        <w:t>2.  Identity promise for this video</w:t>
      </w:r>
    </w:p>
    <w:p>
      <w:pPr>
        <w:spacing w:before="0" w:after="48" w:line="250" w:lineRule="auto"/>
        <w:shd w:val="clear" w:fill="F3F0E8"/>
        <w:keepLines w:val="1"/>
      </w:pPr>
      <w:r>
        <w:rPr>
          <w:b/>
          <w:i w:val="0"/>
          <w:color w:val="0F2346"/>
          <w:sz w:val="22"/>
        </w:rPr>
        <w:t>Become the professional who can enter a career change already knowing what is still theirs, what they can prove, and what they still have to learn.</w:t>
      </w:r>
    </w:p>
    <w:p>
      <w:pPr>
        <w:spacing w:before="0" w:after="48" w:line="250" w:lineRule="auto"/>
        <w:keepLines w:val="1"/>
      </w:pPr>
      <w:r>
        <w:rPr>
          <w:b w:val="0"/>
          <w:i w:val="0"/>
          <w:sz w:val="22"/>
        </w:rPr>
        <w:t>The video is not only solving one job change. It is helping the viewer become someone a change cannot erase. Everything in the edit should serve that.</w:t>
      </w:r>
    </w:p>
    <w:p>
      <w:pPr>
        <w:spacing w:before="84" w:after="48" w:line="250" w:lineRule="auto"/>
        <w:keepLines w:val="1"/>
        <w:keepNext w:val="1"/>
      </w:pPr>
      <w:r>
        <w:rPr>
          <w:b/>
          <w:i w:val="0"/>
          <w:color w:val="0F2346"/>
          <w:sz w:val="28"/>
        </w:rPr>
        <w:t>3.  Who is watching, and what they are feeling</w:t>
      </w:r>
    </w:p>
    <w:p>
      <w:pPr>
        <w:spacing w:before="0" w:after="36" w:line="250" w:lineRule="auto"/>
      </w:pPr>
      <w:r>
        <w:rPr>
          <w:b w:val="0"/>
          <w:i w:val="0"/>
          <w:sz w:val="22"/>
        </w:rPr>
        <w:t>Someone who has spent years getting good at their work, and is now facing a change of job, function or industry. Underneath the practical question is a quieter one: does what I have already done still count?</w:t>
      </w:r>
    </w:p>
    <w:p>
      <w:pPr>
        <w:spacing w:before="0" w:after="48" w:line="250" w:lineRule="auto"/>
        <w:keepLines w:val="1"/>
      </w:pPr>
      <w:r>
        <w:rPr>
          <w:b w:val="0"/>
          <w:i w:val="0"/>
          <w:sz w:val="22"/>
        </w:rPr>
        <w:t>They are not a beginner and they do not want to be spoken to like one. They want to be told the truth about which parts travel.</w:t>
      </w:r>
    </w:p>
    <w:p>
      <w:pPr>
        <w:spacing w:before="84" w:after="48" w:line="250" w:lineRule="auto"/>
        <w:keepLines w:val="1"/>
        <w:keepNext w:val="1"/>
      </w:pPr>
      <w:r>
        <w:rPr>
          <w:b/>
          <w:i w:val="0"/>
          <w:color w:val="0F2346"/>
          <w:sz w:val="28"/>
        </w:rPr>
        <w:t>4.  Belonging and lived proof</w:t>
      </w:r>
    </w:p>
    <w:p>
      <w:pPr>
        <w:spacing w:before="0" w:after="36" w:line="250" w:lineRule="auto"/>
      </w:pPr>
      <w:r>
        <w:rPr>
          <w:b w:val="0"/>
          <w:i w:val="0"/>
          <w:sz w:val="22"/>
        </w:rPr>
        <w:t>Recognition comes first and the framework waits. The order is: the viewer's situation, then “I know that question, I have had to answer it more than once”, then Temidayo's own crossings, then the interpretation, and only then the three practices at about 3:10.</w:t>
      </w:r>
    </w:p>
    <w:p>
      <w:pPr>
        <w:spacing w:before="0" w:after="30" w:line="250" w:lineRule="auto"/>
        <w:keepLines w:val="1"/>
      </w:pPr>
      <w:r>
        <w:rPr>
          <w:b w:val="0"/>
          <w:i w:val="0"/>
          <w:sz w:val="22"/>
        </w:rPr>
        <w:t>—  Accounting and audit, then cybersecurity and privacy, then people and employee experience, then enterprise transformation.</w:t>
      </w:r>
    </w:p>
    <w:p>
      <w:pPr>
        <w:spacing w:before="0" w:after="30" w:line="250" w:lineRule="auto"/>
        <w:keepLines w:val="1"/>
      </w:pPr>
      <w:r>
        <w:rPr>
          <w:b w:val="0"/>
          <w:i w:val="0"/>
          <w:sz w:val="22"/>
        </w:rPr>
        <w:t>—  The December 2008 accounting degree and the financial crisis, exactly as spoken and no further detail.</w:t>
      </w:r>
    </w:p>
    <w:p>
      <w:pPr>
        <w:spacing w:before="0" w:after="30" w:line="250" w:lineRule="auto"/>
        <w:keepLines w:val="1"/>
      </w:pPr>
      <w:r>
        <w:rPr>
          <w:b w:val="0"/>
          <w:i w:val="0"/>
          <w:sz w:val="22"/>
        </w:rPr>
        <w:t>—  Going back to school, and preparing for a professional certification and not passing on the first attempt. This is the honest-relearning beat and it earns the “not everything transfers” boundary. Do not cut it.</w:t>
      </w:r>
    </w:p>
    <w:p>
      <w:pPr>
        <w:spacing w:before="0" w:after="30" w:line="250" w:lineRule="auto"/>
        <w:keepLines w:val="1"/>
      </w:pPr>
      <w:r>
        <w:rPr>
          <w:b w:val="0"/>
          <w:i w:val="0"/>
          <w:sz w:val="22"/>
        </w:rPr>
        <w:t>—  The onboarding redesign and the 47 to 75 measure, bounded as below.</w:t>
      </w:r>
    </w:p>
    <w:p>
      <w:pPr>
        <w:spacing w:before="0" w:after="48" w:line="250" w:lineRule="auto"/>
        <w:shd w:val="clear" w:fill="F3F0E8"/>
        <w:keepLines w:val="1"/>
      </w:pPr>
      <w:r>
        <w:rPr>
          <w:b/>
          <w:i w:val="0"/>
          <w:color w:val="9B2C10"/>
          <w:sz w:val="22"/>
        </w:rPr>
        <w:t>Temidayo is evidence, not the hero. Her story is there so the viewer recognises themselves. If a cut makes her the subject rather than the proof, it is the wrong cut.</w:t>
      </w:r>
    </w:p>
    <w:p>
      <w:pPr>
        <w:spacing w:before="84" w:after="48" w:line="250" w:lineRule="auto"/>
        <w:keepLines w:val="1"/>
        <w:keepNext w:val="1"/>
      </w:pPr>
      <w:r>
        <w:rPr>
          <w:b/>
          <w:i w:val="0"/>
          <w:color w:val="0F2346"/>
          <w:sz w:val="28"/>
        </w:rPr>
        <w:t>5.  First 30 seconds — H.I.T. map</w:t>
      </w:r>
    </w:p>
    <w:tbl>
      <w:tblPr>
        <w:tblStyle w:val="TableGrid"/>
        <w:tblW w:type="auto" w:w="0"/>
        <w:jc w:val="left"/>
        <w:tblLook w:firstColumn="1" w:firstRow="1" w:lastColumn="0" w:lastRow="0" w:noHBand="0" w:noVBand="1" w:val="04A0"/>
      </w:tblPr>
      <w:tblGrid>
        <w:gridCol w:w="1317"/>
        <w:gridCol w:w="1317"/>
        <w:gridCol w:w="1317"/>
        <w:gridCol w:w="1317"/>
        <w:gridCol w:w="1317"/>
        <w:gridCol w:w="1317"/>
        <w:gridCol w:w="1317"/>
      </w:tblGrid>
      <w:tr>
        <w:tc>
          <w:tcPr>
            <w:tcW w:type="dxa" w:w="749"/>
          </w:tcPr>
          <w:p>
            <w:pPr>
              <w:spacing w:after="40"/>
              <w:shd w:val="clear" w:fill="E8EDF4"/>
            </w:pPr>
            <w:r/>
            <w:r>
              <w:rPr>
                <w:b/>
                <w:color w:val="0F2346"/>
                <w:sz w:val="16"/>
              </w:rPr>
              <w:t>Time</w:t>
            </w:r>
          </w:p>
        </w:tc>
        <w:tc>
          <w:tcPr>
            <w:tcW w:type="dxa" w:w="2333"/>
          </w:tcPr>
          <w:p>
            <w:pPr>
              <w:spacing w:after="40"/>
              <w:shd w:val="clear" w:fill="E8EDF4"/>
            </w:pPr>
            <w:r/>
            <w:r>
              <w:rPr>
                <w:b/>
                <w:color w:val="0F2346"/>
                <w:sz w:val="16"/>
              </w:rPr>
              <w:t>Exact spoken line</w:t>
            </w:r>
          </w:p>
        </w:tc>
        <w:tc>
          <w:tcPr>
            <w:tcW w:type="dxa" w:w="1325"/>
          </w:tcPr>
          <w:p>
            <w:pPr>
              <w:spacing w:after="40"/>
              <w:shd w:val="clear" w:fill="E8EDF4"/>
            </w:pPr>
            <w:r/>
            <w:r>
              <w:rPr>
                <w:b/>
                <w:color w:val="0F2346"/>
                <w:sz w:val="16"/>
              </w:rPr>
              <w:t>Verbal hook job</w:t>
            </w:r>
          </w:p>
        </w:tc>
        <w:tc>
          <w:tcPr>
            <w:tcW w:type="dxa" w:w="1512"/>
          </w:tcPr>
          <w:p>
            <w:pPr>
              <w:spacing w:after="40"/>
              <w:shd w:val="clear" w:fill="E8EDF4"/>
            </w:pPr>
            <w:r/>
            <w:r>
              <w:rPr>
                <w:b/>
                <w:color w:val="0F2346"/>
                <w:sz w:val="16"/>
              </w:rPr>
              <w:t>On-screen hook</w:t>
            </w:r>
          </w:p>
        </w:tc>
        <w:tc>
          <w:tcPr>
            <w:tcW w:type="dxa" w:w="1584"/>
          </w:tcPr>
          <w:p>
            <w:pPr>
              <w:spacing w:after="40"/>
              <w:shd w:val="clear" w:fill="E8EDF4"/>
            </w:pPr>
            <w:r/>
            <w:r>
              <w:rPr>
                <w:b/>
                <w:color w:val="0F2346"/>
                <w:sz w:val="16"/>
              </w:rPr>
              <w:t>Visual / editor cue</w:t>
            </w:r>
          </w:p>
        </w:tc>
        <w:tc>
          <w:tcPr>
            <w:tcW w:type="dxa" w:w="1325"/>
          </w:tcPr>
          <w:p>
            <w:pPr>
              <w:spacing w:after="40"/>
              <w:shd w:val="clear" w:fill="E8EDF4"/>
            </w:pPr>
            <w:r/>
            <w:r>
              <w:rPr>
                <w:b/>
                <w:color w:val="0F2346"/>
                <w:sz w:val="16"/>
              </w:rPr>
              <w:t>Trust / proof beat</w:t>
            </w:r>
          </w:p>
        </w:tc>
        <w:tc>
          <w:tcPr>
            <w:tcW w:type="dxa" w:w="1397"/>
          </w:tcPr>
          <w:p>
            <w:pPr>
              <w:spacing w:after="40"/>
              <w:shd w:val="clear" w:fill="E8EDF4"/>
            </w:pPr>
            <w:r/>
            <w:r>
              <w:rPr>
                <w:b/>
                <w:color w:val="0F2346"/>
                <w:sz w:val="16"/>
              </w:rPr>
              <w:t>Viewer payoff</w:t>
            </w:r>
          </w:p>
        </w:tc>
      </w:tr>
      <w:tr>
        <w:tc>
          <w:tcPr>
            <w:tcW w:type="dxa" w:w="749"/>
          </w:tcPr>
          <w:p>
            <w:pPr>
              <w:spacing w:after="40" w:line="252" w:lineRule="auto"/>
            </w:pPr>
            <w:r/>
            <w:r>
              <w:rPr>
                <w:sz w:val="16"/>
              </w:rPr>
              <w:t>0:00–0:09</w:t>
            </w:r>
          </w:p>
        </w:tc>
        <w:tc>
          <w:tcPr>
            <w:tcW w:type="dxa" w:w="2333"/>
          </w:tcPr>
          <w:p>
            <w:pPr>
              <w:spacing w:after="40" w:line="252" w:lineRule="auto"/>
            </w:pPr>
            <w:r/>
            <w:r>
              <w:rPr>
                <w:sz w:val="16"/>
              </w:rPr>
              <w:t>“You have spent years getting good at something. And now the job might change, or the function, or the whole industry.”</w:t>
            </w:r>
          </w:p>
        </w:tc>
        <w:tc>
          <w:tcPr>
            <w:tcW w:type="dxa" w:w="1325"/>
          </w:tcPr>
          <w:p>
            <w:pPr>
              <w:spacing w:after="40" w:line="252" w:lineRule="auto"/>
            </w:pPr>
            <w:r/>
            <w:r>
              <w:rPr>
                <w:sz w:val="16"/>
              </w:rPr>
              <w:t>Recognition. The viewer's exact situation, before any teaching.</w:t>
            </w:r>
          </w:p>
        </w:tc>
        <w:tc>
          <w:tcPr>
            <w:tcW w:type="dxa" w:w="1512"/>
          </w:tcPr>
          <w:p>
            <w:pPr>
              <w:spacing w:after="40" w:line="252" w:lineRule="auto"/>
            </w:pPr>
            <w:r/>
            <w:r>
              <w:rPr>
                <w:sz w:val="16"/>
              </w:rPr>
              <w:t>DON’T START FROM ZERO</w:t>
            </w:r>
          </w:p>
        </w:tc>
        <w:tc>
          <w:tcPr>
            <w:tcW w:type="dxa" w:w="1584"/>
          </w:tcPr>
          <w:p>
            <w:pPr>
              <w:spacing w:after="40" w:line="252" w:lineRule="auto"/>
            </w:pPr>
            <w:r/>
            <w:r>
              <w:rPr>
                <w:sz w:val="16"/>
              </w:rPr>
              <w:t>Open on Temidayo, direct to camera. No title card.</w:t>
            </w:r>
          </w:p>
        </w:tc>
        <w:tc>
          <w:tcPr>
            <w:tcW w:type="dxa" w:w="1325"/>
          </w:tcPr>
          <w:p>
            <w:pPr>
              <w:spacing w:after="40" w:line="252" w:lineRule="auto"/>
            </w:pPr>
            <w:r/>
            <w:r>
              <w:rPr>
                <w:sz w:val="16"/>
              </w:rPr>
              <w:t>None yet, by design. The first job is being seen.</w:t>
            </w:r>
          </w:p>
        </w:tc>
        <w:tc>
          <w:tcPr>
            <w:tcW w:type="dxa" w:w="1397"/>
          </w:tcPr>
          <w:p>
            <w:pPr>
              <w:spacing w:after="40" w:line="252" w:lineRule="auto"/>
            </w:pPr>
            <w:r/>
            <w:r>
              <w:rPr>
                <w:sz w:val="16"/>
              </w:rPr>
              <w:t>The viewer knows this video is about them.</w:t>
            </w:r>
          </w:p>
        </w:tc>
      </w:tr>
      <w:tr>
        <w:tc>
          <w:tcPr>
            <w:tcW w:type="dxa" w:w="749"/>
          </w:tcPr>
          <w:p>
            <w:pPr>
              <w:spacing w:after="40" w:line="252" w:lineRule="auto"/>
            </w:pPr>
            <w:r/>
            <w:r>
              <w:rPr>
                <w:sz w:val="16"/>
              </w:rPr>
              <w:t>0:09–0:16</w:t>
            </w:r>
          </w:p>
        </w:tc>
        <w:tc>
          <w:tcPr>
            <w:tcW w:type="dxa" w:w="2333"/>
          </w:tcPr>
          <w:p>
            <w:pPr>
              <w:spacing w:after="40" w:line="252" w:lineRule="auto"/>
            </w:pPr>
            <w:r/>
            <w:r>
              <w:rPr>
                <w:sz w:val="16"/>
              </w:rPr>
              <w:t>“So a quiet question shows up: does what I have already done still count?”</w:t>
            </w:r>
          </w:p>
        </w:tc>
        <w:tc>
          <w:tcPr>
            <w:tcW w:type="dxa" w:w="1325"/>
          </w:tcPr>
          <w:p>
            <w:pPr>
              <w:spacing w:after="40" w:line="252" w:lineRule="auto"/>
            </w:pPr>
            <w:r/>
            <w:r>
              <w:rPr>
                <w:sz w:val="16"/>
              </w:rPr>
              <w:t>Names the feeling under the practical problem.</w:t>
            </w:r>
          </w:p>
        </w:tc>
        <w:tc>
          <w:tcPr>
            <w:tcW w:type="dxa" w:w="1512"/>
          </w:tcPr>
          <w:p>
            <w:pPr>
              <w:spacing w:after="40" w:line="252" w:lineRule="auto"/>
            </w:pPr>
            <w:r/>
            <w:r>
              <w:rPr>
                <w:sz w:val="16"/>
              </w:rPr>
              <w:t>—</w:t>
            </w:r>
          </w:p>
        </w:tc>
        <w:tc>
          <w:tcPr>
            <w:tcW w:type="dxa" w:w="1584"/>
          </w:tcPr>
          <w:p>
            <w:pPr>
              <w:spacing w:after="40" w:line="252" w:lineRule="auto"/>
            </w:pPr>
            <w:r/>
            <w:r>
              <w:rPr>
                <w:sz w:val="16"/>
              </w:rPr>
              <w:t>Stay on her face. Let the question sit.</w:t>
            </w:r>
          </w:p>
        </w:tc>
        <w:tc>
          <w:tcPr>
            <w:tcW w:type="dxa" w:w="1325"/>
          </w:tcPr>
          <w:p>
            <w:pPr>
              <w:spacing w:after="40" w:line="252" w:lineRule="auto"/>
            </w:pPr>
            <w:r/>
            <w:r>
              <w:rPr>
                <w:sz w:val="16"/>
              </w:rPr>
              <w:t>The question is put plainly, not sold.</w:t>
            </w:r>
          </w:p>
        </w:tc>
        <w:tc>
          <w:tcPr>
            <w:tcW w:type="dxa" w:w="1397"/>
          </w:tcPr>
          <w:p>
            <w:pPr>
              <w:spacing w:after="40" w:line="252" w:lineRule="auto"/>
            </w:pPr>
            <w:r/>
            <w:r>
              <w:rPr>
                <w:sz w:val="16"/>
              </w:rPr>
              <w:t>The viewer hears their own private question said out loud.</w:t>
            </w:r>
          </w:p>
        </w:tc>
      </w:tr>
      <w:tr>
        <w:tc>
          <w:tcPr>
            <w:tcW w:type="dxa" w:w="749"/>
          </w:tcPr>
          <w:p>
            <w:pPr>
              <w:spacing w:after="40" w:line="252" w:lineRule="auto"/>
            </w:pPr>
            <w:r/>
            <w:r>
              <w:rPr>
                <w:sz w:val="16"/>
              </w:rPr>
              <w:t>0:16–0:22</w:t>
            </w:r>
          </w:p>
        </w:tc>
        <w:tc>
          <w:tcPr>
            <w:tcW w:type="dxa" w:w="2333"/>
          </w:tcPr>
          <w:p>
            <w:pPr>
              <w:spacing w:after="40" w:line="252" w:lineRule="auto"/>
            </w:pPr>
            <w:r/>
            <w:r>
              <w:rPr>
                <w:sz w:val="16"/>
              </w:rPr>
              <w:t>“I know that question. I have had to answer it more than once.”</w:t>
            </w:r>
          </w:p>
        </w:tc>
        <w:tc>
          <w:tcPr>
            <w:tcW w:type="dxa" w:w="1325"/>
          </w:tcPr>
          <w:p>
            <w:pPr>
              <w:spacing w:after="40" w:line="252" w:lineRule="auto"/>
            </w:pPr>
            <w:r/>
            <w:r>
              <w:rPr>
                <w:sz w:val="16"/>
              </w:rPr>
              <w:t>Belonging. She has stood where the viewer is standing.</w:t>
            </w:r>
          </w:p>
        </w:tc>
        <w:tc>
          <w:tcPr>
            <w:tcW w:type="dxa" w:w="1512"/>
          </w:tcPr>
          <w:p>
            <w:pPr>
              <w:spacing w:after="40" w:line="252" w:lineRule="auto"/>
            </w:pPr>
            <w:r/>
            <w:r>
              <w:rPr>
                <w:sz w:val="16"/>
              </w:rPr>
              <w:t>—</w:t>
            </w:r>
          </w:p>
        </w:tc>
        <w:tc>
          <w:tcPr>
            <w:tcW w:type="dxa" w:w="1584"/>
          </w:tcPr>
          <w:p>
            <w:pPr>
              <w:spacing w:after="40" w:line="252" w:lineRule="auto"/>
            </w:pPr>
            <w:r/>
            <w:r>
              <w:rPr>
                <w:sz w:val="16"/>
              </w:rPr>
              <w:t>No cutaway. This line only works on her face.</w:t>
            </w:r>
          </w:p>
        </w:tc>
        <w:tc>
          <w:tcPr>
            <w:tcW w:type="dxa" w:w="1325"/>
          </w:tcPr>
          <w:p>
            <w:pPr>
              <w:spacing w:after="40" w:line="252" w:lineRule="auto"/>
            </w:pPr>
            <w:r/>
            <w:r>
              <w:rPr>
                <w:sz w:val="16"/>
              </w:rPr>
              <w:t>Lived: several career changes of her own.</w:t>
            </w:r>
          </w:p>
        </w:tc>
        <w:tc>
          <w:tcPr>
            <w:tcW w:type="dxa" w:w="1397"/>
          </w:tcPr>
          <w:p>
            <w:pPr>
              <w:spacing w:after="40" w:line="252" w:lineRule="auto"/>
            </w:pPr>
            <w:r/>
            <w:r>
              <w:rPr>
                <w:sz w:val="16"/>
              </w:rPr>
              <w:t>The viewer feels understood before being taught.</w:t>
            </w:r>
          </w:p>
        </w:tc>
      </w:tr>
      <w:tr>
        <w:tc>
          <w:tcPr>
            <w:tcW w:type="dxa" w:w="749"/>
          </w:tcPr>
          <w:p>
            <w:pPr>
              <w:spacing w:after="40" w:line="252" w:lineRule="auto"/>
            </w:pPr>
            <w:r/>
            <w:r>
              <w:rPr>
                <w:sz w:val="16"/>
              </w:rPr>
              <w:t>0:22–0:33</w:t>
            </w:r>
          </w:p>
        </w:tc>
        <w:tc>
          <w:tcPr>
            <w:tcW w:type="dxa" w:w="2333"/>
          </w:tcPr>
          <w:p>
            <w:pPr>
              <w:spacing w:after="40" w:line="252" w:lineRule="auto"/>
            </w:pPr>
            <w:r/>
            <w:r>
              <w:rPr>
                <w:sz w:val="16"/>
              </w:rPr>
              <w:t>“The honest answer is that some of it travels. Not all of it. Let me show you the three things I use to tell the difference.”</w:t>
            </w:r>
          </w:p>
        </w:tc>
        <w:tc>
          <w:tcPr>
            <w:tcW w:type="dxa" w:w="1325"/>
          </w:tcPr>
          <w:p>
            <w:pPr>
              <w:spacing w:after="40" w:line="252" w:lineRule="auto"/>
            </w:pPr>
            <w:r/>
            <w:r>
              <w:rPr>
                <w:sz w:val="16"/>
              </w:rPr>
              <w:t>The honest promise, then the payoff.</w:t>
            </w:r>
          </w:p>
        </w:tc>
        <w:tc>
          <w:tcPr>
            <w:tcW w:type="dxa" w:w="1512"/>
          </w:tcPr>
          <w:p>
            <w:pPr>
              <w:spacing w:after="40" w:line="252" w:lineRule="auto"/>
            </w:pPr>
            <w:r/>
            <w:r>
              <w:rPr>
                <w:sz w:val="16"/>
              </w:rPr>
              <w:t>3 PRACTICES</w:t>
            </w:r>
          </w:p>
        </w:tc>
        <w:tc>
          <w:tcPr>
            <w:tcW w:type="dxa" w:w="1584"/>
          </w:tcPr>
          <w:p>
            <w:pPr>
              <w:spacing w:after="40" w:line="252" w:lineRule="auto"/>
            </w:pPr>
            <w:r/>
            <w:r>
              <w:rPr>
                <w:sz w:val="16"/>
              </w:rPr>
              <w:t>Restrained reveal of the three practices, then into the deck.</w:t>
            </w:r>
          </w:p>
        </w:tc>
        <w:tc>
          <w:tcPr>
            <w:tcW w:type="dxa" w:w="1325"/>
          </w:tcPr>
          <w:p>
            <w:pPr>
              <w:spacing w:after="40" w:line="252" w:lineRule="auto"/>
            </w:pPr>
            <w:r/>
            <w:r>
              <w:rPr>
                <w:sz w:val="16"/>
              </w:rPr>
              <w:t>She refuses the easy reassurance, which is why the rest is believable.</w:t>
            </w:r>
          </w:p>
        </w:tc>
        <w:tc>
          <w:tcPr>
            <w:tcW w:type="dxa" w:w="1397"/>
          </w:tcPr>
          <w:p>
            <w:pPr>
              <w:spacing w:after="40" w:line="252" w:lineRule="auto"/>
            </w:pPr>
            <w:r/>
            <w:r>
              <w:rPr>
                <w:sz w:val="16"/>
              </w:rPr>
              <w:t>Payoff is explicit by 33 seconds.</w:t>
            </w:r>
          </w:p>
        </w:tc>
      </w:tr>
    </w:tbl>
    <w:p>
      <w:pPr>
        <w:spacing w:before="60" w:after="30" w:line="250" w:lineRule="auto"/>
        <w:keepLines w:val="1"/>
      </w:pPr>
      <w:r>
        <w:rPr>
          <w:b/>
          <w:i w:val="0"/>
          <w:color w:val="0F2346"/>
          <w:sz w:val="21"/>
        </w:rPr>
        <w:t>Hook layers:</w:t>
      </w:r>
    </w:p>
    <w:p>
      <w:pPr>
        <w:spacing w:before="0" w:after="24" w:line="250" w:lineRule="auto"/>
        <w:keepLines w:val="1"/>
      </w:pPr>
      <w:r>
        <w:rPr>
          <w:b w:val="0"/>
          <w:i w:val="0"/>
          <w:sz w:val="21"/>
        </w:rPr>
        <w:t>Verbal hook:       You have spent years getting good at something.</w:t>
      </w:r>
    </w:p>
    <w:p>
      <w:pPr>
        <w:spacing w:before="0" w:after="24" w:line="250" w:lineRule="auto"/>
        <w:keepLines w:val="1"/>
      </w:pPr>
      <w:r>
        <w:rPr>
          <w:b w:val="0"/>
          <w:i w:val="0"/>
          <w:sz w:val="21"/>
        </w:rPr>
        <w:t>On-screen hook:    DON’T START FROM ZERO</w:t>
      </w:r>
    </w:p>
    <w:p>
      <w:pPr>
        <w:spacing w:before="0" w:after="24" w:line="250" w:lineRule="auto"/>
        <w:keepLines w:val="1"/>
      </w:pPr>
      <w:r>
        <w:rPr>
          <w:b w:val="0"/>
          <w:i w:val="0"/>
          <w:sz w:val="21"/>
        </w:rPr>
        <w:t>Visual / editor:   Direct to camera, then a restrained career-sequence overlay at the career path section. No decorative B-roll anywhere.</w:t>
      </w:r>
    </w:p>
    <w:p>
      <w:pPr>
        <w:spacing w:before="0" w:after="24" w:line="250" w:lineRule="auto"/>
        <w:keepLines w:val="1"/>
      </w:pPr>
      <w:r>
        <w:rPr>
          <w:b w:val="0"/>
          <w:i w:val="0"/>
          <w:sz w:val="21"/>
        </w:rPr>
        <w:t>Trust beat:        Roughly eighteen years across very different functions and industries, the certification she did not pass first time, and the bounded 47 to 75 measure.</w:t>
      </w:r>
    </w:p>
    <w:p>
      <w:pPr>
        <w:spacing w:before="0" w:after="24" w:line="250" w:lineRule="auto"/>
        <w:keepLines w:val="1"/>
      </w:pPr>
      <w:r>
        <w:rPr>
          <w:b w:val="0"/>
          <w:i w:val="0"/>
          <w:sz w:val="21"/>
        </w:rPr>
        <w:t>Viewer payoff:     Three practices for telling what travels from what does not, by 0:33.</w:t>
      </w:r>
    </w:p>
    <w:p>
      <w:pPr>
        <w:spacing w:before="84" w:after="48" w:line="250" w:lineRule="auto"/>
        <w:keepLines w:val="1"/>
        <w:keepNext w:val="1"/>
      </w:pPr>
      <w:r>
        <w:rPr>
          <w:b/>
          <w:i w:val="0"/>
          <w:color w:val="0F2346"/>
          <w:sz w:val="28"/>
        </w:rPr>
        <w:t>6.  Slide marker → slide</w:t>
      </w:r>
    </w:p>
    <w:p>
      <w:pPr>
        <w:spacing w:before="0" w:after="48" w:line="250" w:lineRule="auto"/>
      </w:pPr>
      <w:r>
        <w:rPr>
          <w:b w:val="0"/>
          <w:i w:val="0"/>
          <w:sz w:val="22"/>
        </w:rPr>
        <w:t>Thirteen markers, mapping to the existing thirteen-slide deck in order. The v5.0 script was mapped against the deck and every slide still serves the new story, so NO slide text was changed in this rebuild.</w:t>
      </w:r>
    </w:p>
    <w:p>
      <w:pPr>
        <w:spacing w:before="0" w:after="18" w:line="250" w:lineRule="auto"/>
        <w:keepLines w:val="1"/>
      </w:pPr>
      <w:r>
        <w:rPr>
          <w:b w:val="0"/>
          <w:i w:val="0"/>
          <w:sz w:val="21"/>
        </w:rPr>
        <w:t>Marker 1   →  Slide 1   Title</w:t>
      </w:r>
    </w:p>
    <w:p>
      <w:pPr>
        <w:spacing w:before="0" w:after="18" w:line="250" w:lineRule="auto"/>
        <w:keepLines w:val="1"/>
      </w:pPr>
      <w:r>
        <w:rPr>
          <w:b w:val="0"/>
          <w:i w:val="0"/>
          <w:sz w:val="21"/>
        </w:rPr>
        <w:t>Marker 2   →  Slide 2   My Career Path</w:t>
      </w:r>
    </w:p>
    <w:p>
      <w:pPr>
        <w:spacing w:before="0" w:after="18" w:line="250" w:lineRule="auto"/>
        <w:keepLines w:val="1"/>
      </w:pPr>
      <w:r>
        <w:rPr>
          <w:b w:val="0"/>
          <w:i w:val="0"/>
          <w:sz w:val="21"/>
        </w:rPr>
        <w:t>Marker 3   →  Slide 3   01 Look Underneath the Title</w:t>
      </w:r>
    </w:p>
    <w:p>
      <w:pPr>
        <w:spacing w:before="0" w:after="18" w:line="250" w:lineRule="auto"/>
        <w:keepLines w:val="1"/>
      </w:pPr>
      <w:r>
        <w:rPr>
          <w:b w:val="0"/>
          <w:i w:val="0"/>
          <w:sz w:val="21"/>
        </w:rPr>
        <w:t>Marker 4   →  Slide 4   Move One</w:t>
      </w:r>
    </w:p>
    <w:p>
      <w:pPr>
        <w:spacing w:before="0" w:after="18" w:line="250" w:lineRule="auto"/>
        <w:keepLines w:val="1"/>
      </w:pPr>
      <w:r>
        <w:rPr>
          <w:b w:val="0"/>
          <w:i w:val="0"/>
          <w:sz w:val="21"/>
        </w:rPr>
        <w:t>Marker 5   →  Slide 5   02 Explain What the Work Changed</w:t>
      </w:r>
    </w:p>
    <w:p>
      <w:pPr>
        <w:spacing w:before="0" w:after="18" w:line="250" w:lineRule="auto"/>
        <w:keepLines w:val="1"/>
      </w:pPr>
      <w:r>
        <w:rPr>
          <w:b w:val="0"/>
          <w:i w:val="0"/>
          <w:sz w:val="21"/>
        </w:rPr>
        <w:t>Marker 6   →  Slide 6   Move Two</w:t>
      </w:r>
    </w:p>
    <w:p>
      <w:pPr>
        <w:spacing w:before="0" w:after="18" w:line="250" w:lineRule="auto"/>
        <w:keepLines w:val="1"/>
      </w:pPr>
      <w:r>
        <w:rPr>
          <w:b w:val="0"/>
          <w:i w:val="0"/>
          <w:sz w:val="21"/>
        </w:rPr>
        <w:t>Marker 7   →  Slide 7   One Result — 47 to 75</w:t>
      </w:r>
    </w:p>
    <w:p>
      <w:pPr>
        <w:spacing w:before="0" w:after="18" w:line="250" w:lineRule="auto"/>
        <w:keepLines w:val="1"/>
      </w:pPr>
      <w:r>
        <w:rPr>
          <w:b w:val="0"/>
          <w:i w:val="0"/>
          <w:sz w:val="21"/>
        </w:rPr>
        <w:t>Marker 8   →  Slide 8   03 Keep Evidence Before You Need It</w:t>
      </w:r>
    </w:p>
    <w:p>
      <w:pPr>
        <w:spacing w:before="0" w:after="18" w:line="250" w:lineRule="auto"/>
        <w:keepLines w:val="1"/>
      </w:pPr>
      <w:r>
        <w:rPr>
          <w:b w:val="0"/>
          <w:i w:val="0"/>
          <w:sz w:val="21"/>
        </w:rPr>
        <w:t>Marker 9   →  Slide 9   Move Three</w:t>
      </w:r>
    </w:p>
    <w:p>
      <w:pPr>
        <w:spacing w:before="0" w:after="18" w:line="250" w:lineRule="auto"/>
        <w:keepLines w:val="1"/>
      </w:pPr>
      <w:r>
        <w:rPr>
          <w:b w:val="0"/>
          <w:i w:val="0"/>
          <w:sz w:val="21"/>
        </w:rPr>
        <w:t>Marker 10  →  Slide 10  Three Things I Learned to Do</w:t>
      </w:r>
    </w:p>
    <w:p>
      <w:pPr>
        <w:spacing w:before="0" w:after="18" w:line="250" w:lineRule="auto"/>
        <w:keepLines w:val="1"/>
      </w:pPr>
      <w:r>
        <w:rPr>
          <w:b w:val="0"/>
          <w:i w:val="0"/>
          <w:sz w:val="21"/>
        </w:rPr>
        <w:t>Marker 11  →  Slide 11  Before Your Next Move</w:t>
      </w:r>
    </w:p>
    <w:p>
      <w:pPr>
        <w:spacing w:before="0" w:after="18" w:line="250" w:lineRule="auto"/>
        <w:keepLines w:val="1"/>
      </w:pPr>
      <w:r>
        <w:rPr>
          <w:b w:val="0"/>
          <w:i w:val="0"/>
          <w:sz w:val="21"/>
        </w:rPr>
        <w:t>Marker 12  →  Slide 12  Career Evidence Starter</w:t>
      </w:r>
    </w:p>
    <w:p>
      <w:pPr>
        <w:spacing w:before="0" w:after="18" w:line="250" w:lineRule="auto"/>
        <w:keepLines w:val="1"/>
      </w:pPr>
      <w:r>
        <w:rPr>
          <w:b w:val="0"/>
          <w:i w:val="0"/>
          <w:sz w:val="21"/>
        </w:rPr>
        <w:t>Marker 13  →  Slide 13  Watch Next</w:t>
      </w:r>
    </w:p>
    <w:p>
      <w:pPr>
        <w:spacing w:before="84" w:after="48" w:line="250" w:lineRule="auto"/>
        <w:keepLines w:val="1"/>
        <w:keepNext w:val="1"/>
      </w:pPr>
      <w:r>
        <w:rPr>
          <w:b/>
          <w:i w:val="0"/>
          <w:color w:val="0F2346"/>
          <w:sz w:val="28"/>
        </w:rPr>
        <w:t>7.  Reveal-state map</w:t>
      </w:r>
    </w:p>
    <w:p>
      <w:pPr>
        <w:spacing w:before="0" w:after="48" w:line="250" w:lineRule="auto"/>
      </w:pPr>
      <w:r>
        <w:rPr>
          <w:b w:val="0"/>
          <w:i w:val="0"/>
          <w:sz w:val="22"/>
        </w:rPr>
        <w:t>22 reveal frames, inspected from the file. Reveal visuals unchanged.</w:t>
      </w:r>
    </w:p>
    <w:p>
      <w:pPr>
        <w:spacing w:before="0" w:after="18" w:line="250" w:lineRule="auto"/>
        <w:keepLines w:val="1"/>
      </w:pPr>
      <w:r>
        <w:rPr>
          <w:b w:val="0"/>
          <w:i w:val="0"/>
          <w:sz w:val="21"/>
        </w:rPr>
        <w:t>Slide 1   →  reveal frames 1        (1)</w:t>
      </w:r>
    </w:p>
    <w:p>
      <w:pPr>
        <w:spacing w:before="0" w:after="18" w:line="250" w:lineRule="auto"/>
        <w:keepLines w:val="1"/>
      </w:pPr>
      <w:r>
        <w:rPr>
          <w:b w:val="0"/>
          <w:i w:val="0"/>
          <w:sz w:val="21"/>
        </w:rPr>
        <w:t>Slide 2   →  reveal frames 2        (1)</w:t>
      </w:r>
    </w:p>
    <w:p>
      <w:pPr>
        <w:spacing w:before="0" w:after="18" w:line="250" w:lineRule="auto"/>
        <w:keepLines w:val="1"/>
      </w:pPr>
      <w:r>
        <w:rPr>
          <w:b w:val="0"/>
          <w:i w:val="0"/>
          <w:sz w:val="21"/>
        </w:rPr>
        <w:t>Slide 3   →  reveal frames 3        (1)</w:t>
      </w:r>
    </w:p>
    <w:p>
      <w:pPr>
        <w:spacing w:before="0" w:after="18" w:line="250" w:lineRule="auto"/>
        <w:keepLines w:val="1"/>
      </w:pPr>
      <w:r>
        <w:rPr>
          <w:b w:val="0"/>
          <w:i w:val="0"/>
          <w:sz w:val="21"/>
        </w:rPr>
        <w:t>Slide 4   →  reveal frames 4–6      (3)</w:t>
      </w:r>
    </w:p>
    <w:p>
      <w:pPr>
        <w:spacing w:before="0" w:after="18" w:line="250" w:lineRule="auto"/>
        <w:keepLines w:val="1"/>
      </w:pPr>
      <w:r>
        <w:rPr>
          <w:b w:val="0"/>
          <w:i w:val="0"/>
          <w:sz w:val="21"/>
        </w:rPr>
        <w:t>Slide 5   →  reveal frames 7        (1)</w:t>
      </w:r>
    </w:p>
    <w:p>
      <w:pPr>
        <w:spacing w:before="0" w:after="18" w:line="250" w:lineRule="auto"/>
        <w:keepLines w:val="1"/>
      </w:pPr>
      <w:r>
        <w:rPr>
          <w:b w:val="0"/>
          <w:i w:val="0"/>
          <w:sz w:val="21"/>
        </w:rPr>
        <w:t>Slide 6   →  reveal frames 8–9      (2)</w:t>
      </w:r>
    </w:p>
    <w:p>
      <w:pPr>
        <w:spacing w:before="0" w:after="18" w:line="250" w:lineRule="auto"/>
        <w:keepLines w:val="1"/>
      </w:pPr>
      <w:r>
        <w:rPr>
          <w:b w:val="0"/>
          <w:i w:val="0"/>
          <w:sz w:val="21"/>
        </w:rPr>
        <w:t>Slide 7   →  reveal frames 10–11    (2)</w:t>
      </w:r>
    </w:p>
    <w:p>
      <w:pPr>
        <w:spacing w:before="0" w:after="18" w:line="250" w:lineRule="auto"/>
        <w:keepLines w:val="1"/>
      </w:pPr>
      <w:r>
        <w:rPr>
          <w:b w:val="0"/>
          <w:i w:val="0"/>
          <w:sz w:val="21"/>
        </w:rPr>
        <w:t>Slide 8   →  reveal frames 12       (1)</w:t>
      </w:r>
    </w:p>
    <w:p>
      <w:pPr>
        <w:spacing w:before="0" w:after="18" w:line="250" w:lineRule="auto"/>
        <w:keepLines w:val="1"/>
      </w:pPr>
      <w:r>
        <w:rPr>
          <w:b w:val="0"/>
          <w:i w:val="0"/>
          <w:sz w:val="21"/>
        </w:rPr>
        <w:t>Slide 9   →  reveal frames 13–16    (4)</w:t>
      </w:r>
    </w:p>
    <w:p>
      <w:pPr>
        <w:spacing w:before="0" w:after="18" w:line="250" w:lineRule="auto"/>
        <w:keepLines w:val="1"/>
      </w:pPr>
      <w:r>
        <w:rPr>
          <w:b w:val="0"/>
          <w:i w:val="0"/>
          <w:sz w:val="21"/>
        </w:rPr>
        <w:t>Slide 10  →  reveal frames 17       (1)</w:t>
      </w:r>
    </w:p>
    <w:p>
      <w:pPr>
        <w:spacing w:before="0" w:after="18" w:line="250" w:lineRule="auto"/>
        <w:keepLines w:val="1"/>
      </w:pPr>
      <w:r>
        <w:rPr>
          <w:b w:val="0"/>
          <w:i w:val="0"/>
          <w:sz w:val="21"/>
        </w:rPr>
        <w:t>Slide 11  →  reveal frames 18–20    (3)</w:t>
      </w:r>
    </w:p>
    <w:p>
      <w:pPr>
        <w:spacing w:before="0" w:after="18" w:line="250" w:lineRule="auto"/>
        <w:keepLines w:val="1"/>
      </w:pPr>
      <w:r>
        <w:rPr>
          <w:b w:val="0"/>
          <w:i w:val="0"/>
          <w:sz w:val="21"/>
        </w:rPr>
        <w:t>Slide 12  →  reveal frames 21       (1)</w:t>
      </w:r>
    </w:p>
    <w:p>
      <w:pPr>
        <w:spacing w:before="0" w:after="18" w:line="250" w:lineRule="auto"/>
        <w:keepLines w:val="1"/>
      </w:pPr>
      <w:r>
        <w:rPr>
          <w:b w:val="0"/>
          <w:i w:val="0"/>
          <w:sz w:val="21"/>
        </w:rPr>
        <w:t>Slide 13  →  reveal frames 22       (1)</w:t>
      </w:r>
    </w:p>
    <w:p>
      <w:pPr>
        <w:spacing w:before="84" w:after="48" w:line="250" w:lineRule="auto"/>
        <w:keepLines w:val="1"/>
        <w:keepNext w:val="1"/>
      </w:pPr>
      <w:r>
        <w:rPr>
          <w:b/>
          <w:i w:val="0"/>
          <w:color w:val="0F2346"/>
          <w:sz w:val="28"/>
        </w:rPr>
        <w:t>8.  Visual assets and proof</w:t>
      </w:r>
    </w:p>
    <w:p>
      <w:pPr>
        <w:spacing w:before="0" w:after="24" w:line="250" w:lineRule="auto"/>
        <w:keepLines w:val="1"/>
      </w:pPr>
      <w:r>
        <w:rPr>
          <w:b w:val="0"/>
          <w:i w:val="0"/>
          <w:sz w:val="22"/>
        </w:rPr>
        <w:t>—  the career-sequence overlay at the career-path section;</w:t>
      </w:r>
    </w:p>
    <w:p>
      <w:pPr>
        <w:spacing w:before="0" w:after="24" w:line="250" w:lineRule="auto"/>
        <w:keepLines w:val="1"/>
      </w:pPr>
      <w:r>
        <w:rPr>
          <w:b w:val="0"/>
          <w:i w:val="0"/>
          <w:sz w:val="22"/>
        </w:rPr>
        <w:t>—  slide 7, the 47 to 75 before and after;</w:t>
      </w:r>
    </w:p>
    <w:p>
      <w:pPr>
        <w:spacing w:before="0" w:after="24" w:line="250" w:lineRule="auto"/>
        <w:keepLines w:val="1"/>
      </w:pPr>
      <w:r>
        <w:rPr>
          <w:b w:val="0"/>
          <w:i w:val="0"/>
          <w:sz w:val="22"/>
        </w:rPr>
        <w:t>—  slide 9, the four-line evidence record;</w:t>
      </w:r>
    </w:p>
    <w:p>
      <w:pPr>
        <w:spacing w:before="0" w:after="24" w:line="250" w:lineRule="auto"/>
        <w:keepLines w:val="1"/>
      </w:pPr>
      <w:r>
        <w:rPr>
          <w:b w:val="0"/>
          <w:i w:val="0"/>
          <w:sz w:val="22"/>
        </w:rPr>
        <w:t>—  slide 12, the real Career Evidence Starter artifact — cover in front, Portable Proof Line page behind.</w:t>
      </w:r>
    </w:p>
    <w:p>
      <w:pPr>
        <w:spacing w:before="24" w:after="48" w:line="250" w:lineRule="auto"/>
        <w:keepLines w:val="1"/>
      </w:pPr>
      <w:r>
        <w:rPr>
          <w:b/>
          <w:i w:val="0"/>
          <w:sz w:val="22"/>
        </w:rPr>
        <w:t>Slides carry structure. Artifacts carry proof. Temidayo carries the relationship and the meaning. Do not swap those jobs around.</w:t>
      </w:r>
    </w:p>
    <w:p>
      <w:pPr>
        <w:spacing w:before="84" w:after="48" w:line="250" w:lineRule="auto"/>
        <w:keepLines w:val="1"/>
        <w:keepNext w:val="1"/>
      </w:pPr>
      <w:r>
        <w:rPr>
          <w:b/>
          <w:i w:val="0"/>
          <w:color w:val="0F2346"/>
          <w:sz w:val="28"/>
        </w:rPr>
        <w:t>9.  Factual boundaries</w:t>
      </w:r>
    </w:p>
    <w:p>
      <w:pPr>
        <w:spacing w:before="0" w:after="48" w:line="250" w:lineRule="auto"/>
        <w:shd w:val="clear" w:fill="F3F0E8"/>
        <w:keepLines w:val="1"/>
      </w:pPr>
      <w:r>
        <w:rPr>
          <w:b/>
          <w:i w:val="0"/>
          <w:color w:val="9B2C10"/>
          <w:sz w:val="22"/>
        </w:rPr>
        <w:t>THE 47 TO 75 MEASURE IS BOUNDED. One measure of how well new hires felt integrated, after an onboarding redesign Temidayo LED WITH HER TEAM. Not a claim about everything the redesign touched, and not solo work. The script says both out loud. Do not trim either.</w:t>
      </w:r>
    </w:p>
    <w:p>
      <w:pPr>
        <w:spacing w:before="0" w:after="48" w:line="250" w:lineRule="auto"/>
        <w:shd w:val="clear" w:fill="F3F0E8"/>
        <w:keepLines w:val="1"/>
      </w:pPr>
      <w:r>
        <w:rPr>
          <w:b/>
          <w:i w:val="0"/>
          <w:color w:val="9B2C10"/>
          <w:sz w:val="22"/>
        </w:rPr>
        <w:t>EXCLUDED. The ~30% retention improvement and the &gt;$2M avoided-turnover figure are not in this video and must never be added to it, to a graphic, a caption or a thumbnail.</w:t>
      </w:r>
    </w:p>
    <w:p>
      <w:pPr>
        <w:spacing w:before="0" w:after="18" w:line="250" w:lineRule="auto"/>
        <w:keepLines w:val="1"/>
      </w:pPr>
      <w:r>
        <w:rPr>
          <w:b w:val="0"/>
          <w:i w:val="0"/>
          <w:sz w:val="22"/>
        </w:rPr>
        <w:t>—  “roughly eighteen years” is approved wording, not an open question;</w:t>
      </w:r>
    </w:p>
    <w:p>
      <w:pPr>
        <w:spacing w:before="0" w:after="18" w:line="250" w:lineRule="auto"/>
        <w:keepLines w:val="1"/>
      </w:pPr>
      <w:r>
        <w:rPr>
          <w:b w:val="0"/>
          <w:i w:val="0"/>
          <w:sz w:val="22"/>
        </w:rPr>
        <w:t>—  December 2008 accounting degree and financial crisis exactly as spoken;</w:t>
      </w:r>
    </w:p>
    <w:p>
      <w:pPr>
        <w:spacing w:before="0" w:after="18" w:line="250" w:lineRule="auto"/>
        <w:keepLines w:val="1"/>
      </w:pPr>
      <w:r>
        <w:rPr>
          <w:b w:val="0"/>
          <w:i w:val="0"/>
          <w:sz w:val="22"/>
        </w:rPr>
        <w:t>—  the certification non-pass stays a non-pass — no later result is implied;</w:t>
      </w:r>
    </w:p>
    <w:p>
      <w:pPr>
        <w:spacing w:before="0" w:after="18" w:line="250" w:lineRule="auto"/>
        <w:keepLines w:val="1"/>
      </w:pPr>
      <w:r>
        <w:rPr>
          <w:b w:val="0"/>
          <w:i w:val="0"/>
          <w:sz w:val="22"/>
        </w:rPr>
        <w:t>—  no employer named;        —  no invented assignment, quote or conversation;</w:t>
      </w:r>
    </w:p>
    <w:p>
      <w:pPr>
        <w:spacing w:before="0" w:after="18" w:line="250" w:lineRule="auto"/>
        <w:keepLines w:val="1"/>
      </w:pPr>
      <w:r>
        <w:rPr>
          <w:b w:val="0"/>
          <w:i w:val="0"/>
          <w:sz w:val="22"/>
        </w:rPr>
        <w:t>—  the permitted, non-confidential record boundary;</w:t>
      </w:r>
    </w:p>
    <w:p>
      <w:pPr>
        <w:spacing w:before="0" w:after="18" w:line="250" w:lineRule="auto"/>
        <w:keepLines w:val="1"/>
      </w:pPr>
      <w:r>
        <w:rPr>
          <w:b w:val="0"/>
          <w:i w:val="0"/>
          <w:sz w:val="22"/>
        </w:rPr>
        <w:t>—  the smallest-claim rule on the what-this-shows line.</w:t>
      </w:r>
    </w:p>
    <w:p>
      <w:pPr>
        <w:spacing w:before="84" w:after="48" w:line="250" w:lineRule="auto"/>
        <w:keepLines w:val="1"/>
        <w:keepNext w:val="1"/>
      </w:pPr>
      <w:r>
        <w:rPr>
          <w:b/>
          <w:i w:val="0"/>
          <w:color w:val="0F2346"/>
          <w:sz w:val="28"/>
        </w:rPr>
        <w:t>10.  Do not use</w:t>
      </w:r>
    </w:p>
    <w:p>
      <w:pPr>
        <w:spacing w:before="0" w:after="18" w:line="250" w:lineRule="auto"/>
        <w:keepLines w:val="1"/>
      </w:pPr>
      <w:r>
        <w:rPr>
          <w:b w:val="0"/>
          <w:i w:val="0"/>
          <w:sz w:val="22"/>
        </w:rPr>
        <w:t>—  stock office B-roll;        —  generic résumé graphics;</w:t>
      </w:r>
    </w:p>
    <w:p>
      <w:pPr>
        <w:spacing w:before="0" w:after="18" w:line="250" w:lineRule="auto"/>
        <w:keepLines w:val="1"/>
      </w:pPr>
      <w:r>
        <w:rPr>
          <w:b w:val="0"/>
          <w:i w:val="0"/>
          <w:sz w:val="22"/>
        </w:rPr>
        <w:t>—  employer logos;        —  Field Kit imagery;</w:t>
      </w:r>
    </w:p>
    <w:p>
      <w:pPr>
        <w:spacing w:before="0" w:after="18" w:line="250" w:lineRule="auto"/>
        <w:keepLines w:val="1"/>
      </w:pPr>
      <w:r>
        <w:rPr>
          <w:b w:val="0"/>
          <w:i w:val="0"/>
          <w:sz w:val="22"/>
        </w:rPr>
        <w:t>—  fake shock expressions;        —  countdown motifs;</w:t>
      </w:r>
    </w:p>
    <w:p>
      <w:pPr>
        <w:spacing w:before="0" w:after="18" w:line="250" w:lineRule="auto"/>
        <w:keepLines w:val="1"/>
      </w:pPr>
      <w:r>
        <w:rPr>
          <w:b w:val="0"/>
          <w:i w:val="0"/>
          <w:sz w:val="22"/>
        </w:rPr>
        <w:t>—  constant zooms;        —  AI-generated scenery;</w:t>
      </w:r>
    </w:p>
    <w:p>
      <w:pPr>
        <w:spacing w:before="0" w:after="18" w:line="250" w:lineRule="auto"/>
        <w:keepLines w:val="1"/>
      </w:pPr>
      <w:r>
        <w:rPr>
          <w:b w:val="0"/>
          <w:i w:val="0"/>
          <w:sz w:val="22"/>
        </w:rPr>
        <w:t>—  social-media template effects;</w:t>
      </w:r>
    </w:p>
    <w:p>
      <w:pPr>
        <w:spacing w:before="0" w:after="18" w:line="250" w:lineRule="auto"/>
        <w:keepLines w:val="1"/>
      </w:pPr>
      <w:r>
        <w:rPr>
          <w:b w:val="0"/>
          <w:i w:val="0"/>
          <w:sz w:val="22"/>
        </w:rPr>
        <w:t>—  anything that makes a career change look like a crisis.</w:t>
      </w:r>
    </w:p>
    <w:p>
      <w:pPr>
        <w:spacing w:before="84" w:after="48" w:line="250" w:lineRule="auto"/>
        <w:keepLines w:val="1"/>
        <w:keepNext w:val="1"/>
      </w:pPr>
      <w:r>
        <w:rPr>
          <w:b/>
          <w:i w:val="0"/>
          <w:color w:val="0F2346"/>
          <w:sz w:val="28"/>
        </w:rPr>
        <w:t>11.  CTA and watch next</w:t>
      </w:r>
    </w:p>
    <w:p>
      <w:pPr>
        <w:spacing w:before="0" w:after="30" w:line="250" w:lineRule="auto"/>
        <w:keepLines w:val="1"/>
      </w:pPr>
      <w:r>
        <w:rPr>
          <w:b w:val="0"/>
          <w:i w:val="0"/>
          <w:sz w:val="22"/>
        </w:rPr>
        <w:t>One resource CTA only: Free Career Evidence Starter — https://temidayoafonja.com/career-evidence-starter</w:t>
      </w:r>
    </w:p>
    <w:p>
      <w:pPr>
        <w:spacing w:before="0" w:after="36" w:line="250" w:lineRule="auto"/>
        <w:keepLines w:val="1"/>
      </w:pPr>
      <w:r>
        <w:rPr>
          <w:b w:val="0"/>
          <w:i w:val="0"/>
          <w:sz w:val="22"/>
        </w:rPr>
        <w:t>It arrives after the identity bridge, so it reads as the next step in what she has just described rather than an advert. Keep that order.</w:t>
      </w:r>
    </w:p>
    <w:p>
      <w:pPr>
        <w:spacing w:before="0" w:after="36" w:line="250" w:lineRule="auto"/>
        <w:keepLines w:val="1"/>
      </w:pPr>
      <w:r>
        <w:rPr>
          <w:b/>
          <w:i w:val="0"/>
          <w:sz w:val="22"/>
        </w:rPr>
        <w:t>Use the direct public landing-page URL only. No PDF link.</w:t>
      </w:r>
    </w:p>
    <w:p>
      <w:pPr>
        <w:spacing w:before="0" w:after="36" w:line="250" w:lineRule="auto"/>
        <w:keepLines w:val="1"/>
      </w:pPr>
      <w:r>
        <w:rPr>
          <w:b/>
          <w:i w:val="0"/>
          <w:sz w:val="22"/>
        </w:rPr>
        <w:t>Watch next: Video 2 — Is Your Job Making You Less Marketable?. Slide 13 carries the correct title.</w:t>
      </w:r>
    </w:p>
    <w:p>
      <w:pPr>
        <w:spacing w:before="0" w:after="48" w:line="250" w:lineRule="auto"/>
        <w:keepLines w:val="1"/>
      </w:pPr>
      <w:r>
        <w:rPr>
          <w:b/>
          <w:i w:val="0"/>
          <w:color w:val="9B2C10"/>
          <w:sz w:val="22"/>
        </w:rPr>
        <w:t>Do not leave Subscribe as the only end-screen element.</w:t>
      </w:r>
    </w:p>
    <w:p>
      <w:pPr>
        <w:spacing w:before="84" w:after="48" w:line="250" w:lineRule="auto"/>
        <w:keepLines w:val="1"/>
        <w:keepNext w:val="1"/>
      </w:pPr>
      <w:r>
        <w:rPr>
          <w:b/>
          <w:i w:val="0"/>
          <w:color w:val="0F2346"/>
          <w:sz w:val="28"/>
        </w:rPr>
        <w:t>12.  Identity exit — do not cut</w:t>
      </w:r>
    </w:p>
    <w:p>
      <w:pPr>
        <w:spacing w:before="0" w:after="36" w:line="250" w:lineRule="auto"/>
        <w:shd w:val="clear" w:fill="F3F0E8"/>
        <w:keepLines w:val="1"/>
      </w:pPr>
      <w:r>
        <w:rPr>
          <w:b/>
          <w:i w:val="0"/>
          <w:color w:val="0F2346"/>
          <w:sz w:val="22"/>
        </w:rPr>
        <w:t>“I am not only trying to help you get through one job change. I want you to get to the point where a new context does not make you forget what you already know how to do.”</w:t>
      </w:r>
    </w:p>
    <w:p>
      <w:pPr>
        <w:spacing w:before="0" w:after="48" w:line="250" w:lineRule="auto"/>
        <w:keepLines w:val="1"/>
      </w:pPr>
      <w:r>
        <w:rPr>
          <w:b w:val="0"/>
          <w:i w:val="0"/>
          <w:sz w:val="22"/>
        </w:rPr>
        <w:t>It sits just before the Before Your Next Move slide, after the two mistakes and the honest limits. It is the point of the video. If the edit runs long, cut something else.</w:t>
      </w:r>
    </w:p>
    <w:p>
      <w:pPr>
        <w:spacing w:before="84" w:after="48" w:line="250" w:lineRule="auto"/>
        <w:keepLines w:val="1"/>
        <w:keepNext w:val="1"/>
      </w:pPr>
      <w:r>
        <w:rPr>
          <w:b/>
          <w:i w:val="0"/>
          <w:color w:val="0F2346"/>
          <w:sz w:val="28"/>
        </w:rPr>
        <w:t>13.  Direct-address editing rule</w:t>
      </w:r>
    </w:p>
    <w:p>
      <w:pPr>
        <w:spacing w:before="0" w:after="18" w:line="250" w:lineRule="auto"/>
        <w:keepLines w:val="1"/>
      </w:pPr>
      <w:r>
        <w:rPr>
          <w:b w:val="0"/>
          <w:i w:val="0"/>
          <w:sz w:val="22"/>
        </w:rPr>
        <w:t>—  keep direct questions on Temidayo's face;        —  no keynote framing;</w:t>
      </w:r>
    </w:p>
    <w:p>
      <w:pPr>
        <w:spacing w:before="0" w:after="18" w:line="250" w:lineRule="auto"/>
        <w:keepLines w:val="1"/>
      </w:pPr>
      <w:r>
        <w:rPr>
          <w:b w:val="0"/>
          <w:i w:val="0"/>
          <w:sz w:val="22"/>
        </w:rPr>
        <w:t>—  do not overuse quote cards;        —  let the slides carry structure;</w:t>
      </w:r>
    </w:p>
    <w:p>
      <w:pPr>
        <w:spacing w:before="0" w:after="18" w:line="250" w:lineRule="auto"/>
        <w:keepLines w:val="1"/>
      </w:pPr>
      <w:r>
        <w:rPr>
          <w:b w:val="0"/>
          <w:i w:val="0"/>
          <w:sz w:val="22"/>
        </w:rPr>
        <w:t>—  preserve the pauses;        —  never cut the relational lines as filler.</w:t>
      </w:r>
    </w:p>
    <w:p>
      <w:pPr>
        <w:spacing w:before="0" w:after="48" w:line="250" w:lineRule="auto"/>
        <w:keepLines w:val="1"/>
      </w:pPr>
      <w:r>
        <w:rPr>
          <w:b w:val="0"/>
          <w:i w:val="0"/>
          <w:sz w:val="21"/>
        </w:rPr>
        <w:t>Relational beats: “I know that question.” · “Let me show you how this came up for me.” · “I am not being modest. I have paid for that lesson.” · “I do not want you to stretch yours either.”</w:t>
      </w:r>
    </w:p>
    <w:p>
      <w:pPr>
        <w:spacing w:before="84" w:after="48" w:line="250" w:lineRule="auto"/>
        <w:keepLines w:val="1"/>
        <w:keepNext w:val="1"/>
      </w:pPr>
      <w:r>
        <w:rPr>
          <w:b/>
          <w:i w:val="0"/>
          <w:color w:val="0F2346"/>
          <w:sz w:val="28"/>
        </w:rPr>
        <w:t>14.  Speaker-note update record</w:t>
      </w:r>
    </w:p>
    <w:p>
      <w:pPr>
        <w:spacing w:before="0" w:after="18" w:line="250" w:lineRule="auto"/>
        <w:keepLines w:val="1"/>
      </w:pPr>
      <w:r>
        <w:rPr>
          <w:b w:val="0"/>
          <w:i w:val="0"/>
          <w:sz w:val="22"/>
        </w:rPr>
        <w:t>—  Main deck: 13 notes parts rewritten for the v5.0 narration.</w:t>
      </w:r>
    </w:p>
    <w:p>
      <w:pPr>
        <w:spacing w:before="0" w:after="18" w:line="250" w:lineRule="auto"/>
        <w:keepLines w:val="1"/>
      </w:pPr>
      <w:r>
        <w:rPr>
          <w:b w:val="0"/>
          <w:i w:val="0"/>
          <w:sz w:val="22"/>
        </w:rPr>
        <w:t>—  Reveal deck: 22 notes parts rewritten.</w:t>
      </w:r>
    </w:p>
    <w:p>
      <w:pPr>
        <w:spacing w:before="0" w:after="18" w:line="250" w:lineRule="auto"/>
        <w:keepLines w:val="1"/>
      </w:pPr>
      <w:r>
        <w:rPr>
          <w:b w:val="0"/>
          <w:i w:val="0"/>
          <w:sz w:val="22"/>
        </w:rPr>
        <w:t>—  Slide XML, geometry, typography, palette and media: UNCHANGED.</w:t>
      </w:r>
    </w:p>
    <w:p>
      <w:pPr>
        <w:spacing w:before="0" w:after="18" w:line="250" w:lineRule="auto"/>
        <w:keepLines w:val="1"/>
      </w:pPr>
      <w:r>
        <w:rPr>
          <w:b w:val="0"/>
          <w:i w:val="0"/>
          <w:sz w:val="22"/>
        </w:rPr>
        <w:t>—  Timings are working estimates at 145 words per minute for the 1,727-word script, about 11:54. Replace them from the finished cut.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