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6</w:t>
      </w:r>
    </w:p>
    <w:p>
      <w:pPr>
        <w:spacing w:before="0" w:after="80"/>
      </w:pPr>
      <w:r>
        <w:rPr>
          <w:b/>
          <w:i w:val="0"/>
          <w:color w:val="112345"/>
          <w:sz w:val="42"/>
        </w:rPr>
        <w:t>Approved Recording Master Reference</w:t>
      </w:r>
    </w:p>
    <w:p>
      <w:pPr>
        <w:spacing w:before="0" w:after="280"/>
      </w:pPr>
      <w:r>
        <w:rPr>
          <w:b w:val="0"/>
          <w:i w:val="0"/>
          <w:color w:val="5A6B82"/>
          <w:sz w:val="20"/>
        </w:rPr>
        <w:t>Before You Take an Internal Role, Ask These 3 Questions</w:t>
      </w:r>
    </w:p>
    <w:p>
      <w:pPr>
        <w:spacing w:before="0" w:after="240"/>
        <w:pBdr>
          <w:bottom w:val="single" w:sz="6" w:color="8A6D1E"/>
        </w:pBdr>
      </w:pPr>
    </w:p>
    <w:p>
      <w:pPr>
        <w:spacing w:after="80"/>
      </w:pPr>
      <w:r>
        <w:rPr>
          <w:b/>
          <w:color w:val="8A6D1E"/>
          <w:sz w:val="20"/>
        </w:rPr>
        <w:t xml:space="preserve">Source file  </w:t>
      </w:r>
      <w:r>
        <w:rPr>
          <w:sz w:val="21"/>
        </w:rPr>
        <w:t>V6_Recording_Master_LOCKED_2026-09-09.docx</w:t>
      </w:r>
    </w:p>
    <w:p>
      <w:pPr>
        <w:spacing w:after="80"/>
      </w:pPr>
      <w:r>
        <w:rPr>
          <w:b/>
          <w:color w:val="8A6D1E"/>
          <w:sz w:val="20"/>
        </w:rPr>
        <w:t xml:space="preserve">Locked  </w:t>
      </w:r>
      <w:r>
        <w:rPr>
          <w:sz w:val="21"/>
        </w:rPr>
        <w:t>September 9, 2026</w:t>
      </w:r>
    </w:p>
    <w:p>
      <w:pPr>
        <w:spacing w:after="80"/>
      </w:pPr>
      <w:r>
        <w:rPr>
          <w:b/>
          <w:color w:val="8A6D1E"/>
          <w:sz w:val="20"/>
        </w:rPr>
        <w:t xml:space="preserve">Script SHA-256  </w:t>
      </w:r>
      <w:r>
        <w:rPr>
          <w:sz w:val="21"/>
        </w:rPr>
        <w:t>766d3e4a86af004ba91abd50f8aa28dbd8552a1e954ef1d7e4c45ad580f464ba</w:t>
      </w:r>
    </w:p>
    <w:p>
      <w:pPr>
        <w:spacing w:after="80"/>
      </w:pPr>
      <w:r>
        <w:rPr>
          <w:b/>
          <w:color w:val="8A6D1E"/>
          <w:sz w:val="20"/>
        </w:rPr>
        <w:t xml:space="preserve">Spoken words  </w:t>
      </w:r>
      <w:r>
        <w:rPr>
          <w:sz w:val="21"/>
        </w:rPr>
        <w:t>1151</w:t>
      </w:r>
    </w:p>
    <w:p>
      <w:pPr>
        <w:spacing w:after="80"/>
      </w:pPr>
      <w:r>
        <w:rPr>
          <w:b/>
          <w:color w:val="8A6D1E"/>
          <w:sz w:val="20"/>
        </w:rPr>
        <w:t xml:space="preserve">Speech-only estimate  </w:t>
      </w:r>
      <w:r>
        <w:rPr>
          <w:sz w:val="21"/>
        </w:rPr>
        <w:t>7:56 to 8:51 at 130 to 145 wpm</w:t>
      </w:r>
    </w:p>
    <w:p>
      <w:pPr>
        <w:spacing w:before="200" w:after="200"/>
        <w:ind w:left="216"/>
        <w:pBdr>
          <w:left w:val="single" w:sz="18" w:color="9B2C10" w:space="8"/>
        </w:pBdr>
        <w:keepNext w:val="1"/>
        <w:keepLines w:val="1"/>
      </w:pPr>
      <w:r>
        <w:rPr>
          <w:b/>
          <w:color w:val="9B2C10"/>
          <w:sz w:val="21"/>
        </w:rPr>
        <w:t>This is a reading copy. The September 9 Recording Master is the spoken source of truth and nothing in this package replaces a line of it. Section labels and bracketed directions are production instructions and are not spoken.</w:t>
      </w:r>
    </w:p>
    <w:p>
      <w:pPr>
        <w:spacing w:before="0" w:after="200"/>
      </w:pPr>
      <w:r>
        <w:rPr>
          <w:b w:val="0"/>
          <w:i w:val="0"/>
          <w:color w:val="5A6B82"/>
          <w:sz w:val="19"/>
        </w:rPr>
        <w:t>RUNTIME: ESTIMATE ONLY, NOT A MEASUREMENT</w:t>
        <w:br/>
        <w:br/>
        <w:t>The figure below is arithmetic on the locked script's word count at 130 to 145</w:t>
        <w:br/>
        <w:t>words per minute, the band the September 9 roadmap itself uses. It is speech only. It excludes the scripted pauses, the holds</w:t>
        <w:br/>
        <w:t>on full-screen graphics, B-roll, and every edit decision.</w:t>
        <w:br/>
        <w:br/>
        <w:t>It is NOT a timed read and it is NOT a finished runtime. The finished runtime</w:t>
        <w:br/>
        <w:t>does not exist until the export does.</w:t>
        <w:br/>
        <w:br/>
        <w:t>The target printed on the source cover is not a verified finished length</w:t>
        <w:br/>
        <w:t>either. The September 9 scripts are shorter than the earlier drafts. Do not</w:t>
        <w:br/>
        <w:t>restore deleted material, pad the script, or slow the delivery to reach an</w:t>
        <w:br/>
        <w:t>older target.</w:t>
        <w:br/>
        <w:br/>
        <w:t>A full-screen graphic or a B-roll shot running underneath continuing narration</w:t>
        <w:br/>
        <w:t>does not add separate runtime. It occupies time the speech already occupies.</w:t>
        <w:br/>
        <w:t>Only a deliberate silent hold adds length, and those are the scripted pauses</w:t>
        <w:br/>
        <w:t>and the closing hold, which are already accounted for.</w:t>
      </w:r>
    </w:p>
    <w:p>
      <w:pPr>
        <w:spacing w:before="320" w:after="120"/>
        <w:keepNext w:val="1"/>
        <w:keepLines w:val="1"/>
      </w:pPr>
      <w:r>
        <w:rPr>
          <w:b/>
          <w:i w:val="0"/>
          <w:color w:val="8A6D1E"/>
          <w:sz w:val="20"/>
        </w:rPr>
        <w:t>HOOK</w:t>
      </w:r>
    </w:p>
    <w:p>
      <w:pPr>
        <w:spacing w:before="0" w:after="180"/>
      </w:pPr>
      <w:r>
        <w:rPr>
          <w:b w:val="0"/>
          <w:i w:val="0"/>
          <w:sz w:val="24"/>
        </w:rPr>
        <w:t>You are offered an internal role.</w:t>
      </w:r>
    </w:p>
    <w:p>
      <w:pPr>
        <w:spacing w:before="0" w:after="180"/>
      </w:pPr>
      <w:r>
        <w:rPr>
          <w:b w:val="0"/>
          <w:i w:val="0"/>
          <w:sz w:val="24"/>
        </w:rPr>
        <w:t>Same company. Better title. Maybe more visibility. Maybe more money.</w:t>
      </w:r>
    </w:p>
    <w:p>
      <w:pPr>
        <w:spacing w:before="0" w:after="180"/>
      </w:pPr>
      <w:r>
        <w:rPr>
          <w:b w:val="0"/>
          <w:i w:val="0"/>
          <w:sz w:val="24"/>
        </w:rPr>
        <w:t>It feels like progress because something is changing.</w:t>
      </w:r>
    </w:p>
    <w:p>
      <w:pPr>
        <w:spacing w:before="0" w:after="180"/>
      </w:pPr>
      <w:r>
        <w:rPr>
          <w:b w:val="0"/>
          <w:i w:val="0"/>
          <w:sz w:val="24"/>
        </w:rPr>
        <w:t>But before I said yes, I would want one question answered:</w:t>
      </w:r>
    </w:p>
    <w:p>
      <w:pPr>
        <w:spacing w:before="0" w:after="180"/>
      </w:pPr>
      <w:r>
        <w:rPr>
          <w:b w:val="0"/>
          <w:i w:val="0"/>
          <w:sz w:val="24"/>
        </w:rPr>
        <w:t>A year from now, what will I be able to do, decide, or prove that I cannot do today?</w:t>
      </w:r>
    </w:p>
    <w:p>
      <w:pPr>
        <w:spacing w:before="0" w:after="180"/>
      </w:pPr>
      <w:r>
        <w:rPr>
          <w:b w:val="0"/>
          <w:i w:val="0"/>
          <w:sz w:val="24"/>
        </w:rPr>
        <w:t>Because an internal move can change your title without changing your career.</w:t>
      </w:r>
    </w:p>
    <w:p>
      <w:pPr>
        <w:spacing w:before="0" w:after="180"/>
      </w:pPr>
      <w:r>
        <w:rPr>
          <w:b w:val="0"/>
          <w:i w:val="0"/>
          <w:sz w:val="24"/>
        </w:rPr>
        <w:t>Before you take it, test three things:</w:t>
      </w:r>
    </w:p>
    <w:p>
      <w:pPr>
        <w:spacing w:before="0" w:after="180"/>
      </w:pPr>
      <w:r>
        <w:rPr>
          <w:b w:val="0"/>
          <w:i w:val="0"/>
          <w:sz w:val="24"/>
        </w:rPr>
        <w:t>Will the work change?</w:t>
      </w:r>
    </w:p>
    <w:p>
      <w:pPr>
        <w:spacing w:before="0" w:after="180"/>
      </w:pPr>
      <w:r>
        <w:rPr>
          <w:b w:val="0"/>
          <w:i w:val="0"/>
          <w:sz w:val="24"/>
        </w:rPr>
        <w:t>Will my judgment expand?</w:t>
      </w:r>
    </w:p>
    <w:p>
      <w:pPr>
        <w:spacing w:before="0" w:after="180"/>
      </w:pPr>
      <w:r>
        <w:rPr>
          <w:b w:val="0"/>
          <w:i w:val="0"/>
          <w:sz w:val="24"/>
        </w:rPr>
        <w:t>Will the evidence travel?</w:t>
      </w:r>
    </w:p>
    <w:p>
      <w:pPr>
        <w:spacing w:before="0" w:after="180"/>
      </w:pPr>
      <w:r>
        <w:rPr>
          <w:b w:val="0"/>
          <w:i w:val="0"/>
          <w:sz w:val="24"/>
        </w:rPr>
        <w:t>If those answers are weak, a new title may give you movement without giving you much growth.</w:t>
      </w:r>
    </w:p>
    <w:p>
      <w:pPr>
        <w:spacing w:before="0" w:after="180"/>
      </w:pPr>
      <w:r>
        <w:rPr>
          <w:b w:val="0"/>
          <w:i w:val="0"/>
          <w:sz w:val="24"/>
        </w:rPr>
        <w:t>You may not need to leave. But the work does need to change.</w:t>
      </w:r>
    </w:p>
    <w:p>
      <w:pPr>
        <w:spacing w:before="320" w:after="120"/>
        <w:keepNext w:val="1"/>
        <w:keepLines w:val="1"/>
      </w:pPr>
      <w:r>
        <w:rPr>
          <w:b/>
          <w:i w:val="0"/>
          <w:color w:val="8A6D1E"/>
          <w:sz w:val="20"/>
        </w:rPr>
        <w:t>WHY AN INTERNAL MOVE CAN BE A REAL CAREER MOVE</w:t>
      </w:r>
    </w:p>
    <w:p>
      <w:pPr>
        <w:spacing w:before="0" w:after="180"/>
      </w:pPr>
      <w:r>
        <w:rPr>
          <w:b w:val="0"/>
          <w:i w:val="0"/>
          <w:sz w:val="24"/>
        </w:rPr>
        <w:t>I am Temidayo Afonja. I help experienced professionals understand what their work has built in them, what travels when the context changes, and what still has to be learned.</w:t>
      </w:r>
    </w:p>
    <w:p>
      <w:pPr>
        <w:spacing w:before="0" w:after="180"/>
      </w:pPr>
      <w:r>
        <w:rPr>
          <w:b w:val="0"/>
          <w:i w:val="0"/>
          <w:sz w:val="24"/>
        </w:rPr>
        <w:t>An internal move can absolutely be a real career move. The employer is only one part of the context. The work, decisions, stakeholders, systems, and evidence can change even when the logo does not.</w:t>
      </w:r>
    </w:p>
    <w:p>
      <w:pPr>
        <w:spacing w:before="0" w:after="180"/>
      </w:pPr>
      <w:r>
        <w:rPr>
          <w:b w:val="0"/>
          <w:i w:val="0"/>
          <w:sz w:val="24"/>
        </w:rPr>
        <w:t>In one chapter of my own career, roughly six months in, the scope of my role expanded. What mattered was not that more things appeared on my list. People began trusting me with work beyond the original box.</w:t>
      </w:r>
    </w:p>
    <w:p>
      <w:pPr>
        <w:spacing w:before="0" w:after="180"/>
      </w:pPr>
      <w:r>
        <w:rPr>
          <w:b w:val="0"/>
          <w:i w:val="0"/>
          <w:sz w:val="24"/>
        </w:rPr>
        <w:t>That is the distinction I want you to carry through this video. Test the work, not the label.</w:t>
      </w:r>
    </w:p>
    <w:p>
      <w:pPr>
        <w:spacing w:before="320" w:after="120"/>
        <w:keepNext w:val="1"/>
        <w:keepLines w:val="1"/>
      </w:pPr>
      <w:r>
        <w:rPr>
          <w:b/>
          <w:i w:val="0"/>
          <w:color w:val="8A6D1E"/>
          <w:sz w:val="20"/>
        </w:rPr>
        <w:t>QUESTION 1: WILL THE WORK CHANGE?</w:t>
      </w:r>
    </w:p>
    <w:p>
      <w:pPr>
        <w:spacing w:before="0" w:after="180"/>
      </w:pPr>
      <w:r>
        <w:rPr>
          <w:b w:val="0"/>
          <w:i w:val="0"/>
          <w:sz w:val="24"/>
        </w:rPr>
        <w:t>Start with the most concrete question: What will actually be different on an ordinary Monday?</w:t>
      </w:r>
    </w:p>
    <w:p>
      <w:pPr>
        <w:spacing w:before="0" w:after="180"/>
      </w:pPr>
      <w:r>
        <w:rPr>
          <w:b w:val="0"/>
          <w:i w:val="0"/>
          <w:sz w:val="24"/>
        </w:rPr>
        <w:t>Do not start with the title. Ask what problems you will own, what systems you will learn, which stakeholders you will have to influence, and what part of the business will become visible from the new seat.</w:t>
      </w:r>
    </w:p>
    <w:p>
      <w:pPr>
        <w:spacing w:before="0" w:after="180"/>
      </w:pPr>
      <w:r>
        <w:rPr>
          <w:b w:val="0"/>
          <w:i w:val="0"/>
          <w:sz w:val="24"/>
        </w:rPr>
        <w:t>A move can be significant even if the title barely changes. A new customer, operating model, regulation, decision process, or stakeholder environment can expand your range.</w:t>
      </w:r>
    </w:p>
    <w:p>
      <w:pPr>
        <w:spacing w:before="0" w:after="180"/>
      </w:pPr>
      <w:r>
        <w:rPr>
          <w:b w:val="0"/>
          <w:i w:val="0"/>
          <w:sz w:val="24"/>
        </w:rPr>
        <w:t>The reverse is also true. You can get a new title, new manager, or new team and still do almost exactly the same class of work.</w:t>
      </w:r>
    </w:p>
    <w:p>
      <w:pPr>
        <w:spacing w:before="0" w:after="180"/>
      </w:pPr>
      <w:r>
        <w:rPr>
          <w:b w:val="0"/>
          <w:i w:val="0"/>
          <w:sz w:val="24"/>
        </w:rPr>
        <w:t>That move may still be right for pay, flexibility, stability, or manager fit. Those are legitimate reasons. Just do not call it growth automatically.</w:t>
      </w:r>
    </w:p>
    <w:p>
      <w:pPr>
        <w:spacing w:before="0" w:after="180"/>
      </w:pPr>
      <w:r>
        <w:rPr>
          <w:b w:val="0"/>
          <w:i w:val="0"/>
          <w:sz w:val="24"/>
        </w:rPr>
        <w:t>Ask the internal hiring manager three things: What are the most important problems this person will own in the first six months? What will I have to learn that I do not already know? What will I understand differently because I held this role?</w:t>
      </w:r>
    </w:p>
    <w:p>
      <w:pPr>
        <w:spacing w:before="0" w:after="180"/>
      </w:pPr>
      <w:r>
        <w:rPr>
          <w:b w:val="0"/>
          <w:i w:val="0"/>
          <w:sz w:val="24"/>
        </w:rPr>
        <w:t>Listen for concrete work. Words like strategic, visible, and high impact are not enough if nobody can tell you what will actually be different.</w:t>
      </w:r>
    </w:p>
    <w:p>
      <w:pPr>
        <w:spacing w:before="320" w:after="120"/>
        <w:keepNext w:val="1"/>
        <w:keepLines w:val="1"/>
      </w:pPr>
      <w:r>
        <w:rPr>
          <w:b/>
          <w:i w:val="0"/>
          <w:color w:val="8A6D1E"/>
          <w:sz w:val="20"/>
        </w:rPr>
        <w:t>QUESTION 2: WILL YOUR JUDGMENT EXPAND?</w:t>
      </w:r>
    </w:p>
    <w:p>
      <w:pPr>
        <w:spacing w:before="0" w:after="180"/>
      </w:pPr>
      <w:r>
        <w:rPr>
          <w:b w:val="0"/>
          <w:i w:val="0"/>
          <w:sz w:val="24"/>
        </w:rPr>
        <w:t>The second question is not how much responsibility you will have. It is what you will be trusted to notice, weigh, recommend, or own.</w:t>
      </w:r>
    </w:p>
    <w:p>
      <w:pPr>
        <w:spacing w:before="0" w:after="180"/>
      </w:pPr>
      <w:r>
        <w:rPr>
          <w:b w:val="0"/>
          <w:i w:val="0"/>
          <w:sz w:val="24"/>
        </w:rPr>
        <w:t>Dependable people often get more responsibility before they get more judgment.</w:t>
      </w:r>
    </w:p>
    <w:p>
      <w:pPr>
        <w:spacing w:before="0" w:after="180"/>
      </w:pPr>
      <w:r>
        <w:rPr>
          <w:b w:val="0"/>
          <w:i w:val="0"/>
          <w:sz w:val="24"/>
        </w:rPr>
        <w:t>More tasks can mean volume, coordination, and absorption. More judgment means interpreting incomplete information, weighing tradeoffs, recommending a direction, influencing people with different incentives, or owning the consequence when the instructions stop being clear.</w:t>
      </w:r>
    </w:p>
    <w:p>
      <w:pPr>
        <w:spacing w:before="0" w:after="180"/>
      </w:pPr>
      <w:r>
        <w:rPr>
          <w:b w:val="0"/>
          <w:i w:val="0"/>
          <w:sz w:val="24"/>
        </w:rPr>
        <w:t>Preparing a report is work. Deciding which pattern in the report matters, explaining the consequence, and recommending what happens next requires different judgment.</w:t>
      </w:r>
    </w:p>
    <w:p>
      <w:pPr>
        <w:spacing w:before="0" w:after="180"/>
      </w:pPr>
      <w:r>
        <w:rPr>
          <w:b w:val="0"/>
          <w:i w:val="0"/>
          <w:sz w:val="24"/>
        </w:rPr>
        <w:t>So ask: Which decisions belong to this role? Where will I be expected to recommend a direction rather than only provide information? What outcome will still be mine when the instructions are incomplete?</w:t>
      </w:r>
    </w:p>
    <w:p>
      <w:pPr>
        <w:spacing w:before="0" w:after="180"/>
      </w:pPr>
      <w:r>
        <w:rPr>
          <w:b w:val="0"/>
          <w:i w:val="0"/>
          <w:sz w:val="24"/>
        </w:rPr>
        <w:t>And check the authority around that judgment. If you are accountable for an outcome but cannot influence the decisions, priorities, resources, or people that produce it, keep investigating.</w:t>
      </w:r>
    </w:p>
    <w:p>
      <w:pPr>
        <w:spacing w:before="0" w:after="180"/>
      </w:pPr>
      <w:r>
        <w:rPr>
          <w:b w:val="0"/>
          <w:i w:val="0"/>
          <w:sz w:val="24"/>
        </w:rPr>
        <w:t>If the answer is simply, “You will have more to manage,” that is not enough information.</w:t>
      </w:r>
    </w:p>
    <w:p>
      <w:pPr>
        <w:spacing w:before="320" w:after="120"/>
        <w:keepNext w:val="1"/>
        <w:keepLines w:val="1"/>
      </w:pPr>
      <w:r>
        <w:rPr>
          <w:b/>
          <w:i w:val="0"/>
          <w:color w:val="8A6D1E"/>
          <w:sz w:val="20"/>
        </w:rPr>
        <w:t>QUESTION 3: WILL THE EVIDENCE TRAVEL?</w:t>
      </w:r>
    </w:p>
    <w:p>
      <w:pPr>
        <w:spacing w:before="0" w:after="180"/>
      </w:pPr>
      <w:r>
        <w:rPr>
          <w:b w:val="0"/>
          <w:i w:val="0"/>
          <w:sz w:val="24"/>
        </w:rPr>
        <w:t>The third question is whether the move will produce evidence you can explain outside the organization.</w:t>
      </w:r>
    </w:p>
    <w:p>
      <w:pPr>
        <w:spacing w:before="0" w:after="180"/>
      </w:pPr>
      <w:r>
        <w:rPr>
          <w:b w:val="0"/>
          <w:i w:val="0"/>
          <w:sz w:val="24"/>
        </w:rPr>
        <w:t>Imagine that a year from now you are interviewing somewhere else. Could you explain what changed without relying on internal acronyms, relationships, or reputation?</w:t>
      </w:r>
    </w:p>
    <w:p>
      <w:pPr>
        <w:spacing w:before="0" w:after="180"/>
      </w:pPr>
      <w:r>
        <w:rPr>
          <w:b w:val="0"/>
          <w:i w:val="0"/>
          <w:sz w:val="24"/>
        </w:rPr>
        <w:t>You should be able to name four things: the problem, your role, the judgment you used, and the permitted result.</w:t>
      </w:r>
    </w:p>
    <w:p>
      <w:pPr>
        <w:spacing w:before="0" w:after="180"/>
      </w:pPr>
      <w:r>
        <w:rPr>
          <w:b w:val="0"/>
          <w:i w:val="0"/>
          <w:sz w:val="24"/>
        </w:rPr>
        <w:t>I would look for three kinds of evidence: result, judgment, and range.</w:t>
      </w:r>
    </w:p>
    <w:p>
      <w:pPr>
        <w:spacing w:before="0" w:after="180"/>
      </w:pPr>
      <w:r>
        <w:rPr>
          <w:b w:val="0"/>
          <w:i w:val="0"/>
          <w:sz w:val="24"/>
        </w:rPr>
        <w:t>Result: What changed, improved, stabilized, accelerated, or became possible?</w:t>
      </w:r>
    </w:p>
    <w:p>
      <w:pPr>
        <w:spacing w:before="0" w:after="180"/>
      </w:pPr>
      <w:r>
        <w:rPr>
          <w:b w:val="0"/>
          <w:i w:val="0"/>
          <w:sz w:val="24"/>
        </w:rPr>
        <w:t>Judgment: What did you notice, weigh, recommend, or decide?</w:t>
      </w:r>
    </w:p>
    <w:p>
      <w:pPr>
        <w:spacing w:before="0" w:after="180"/>
      </w:pPr>
      <w:r>
        <w:rPr>
          <w:b w:val="0"/>
          <w:i w:val="0"/>
          <w:sz w:val="24"/>
        </w:rPr>
        <w:t>Range: What new context, stakeholder group, system, or problem can you now handle?</w:t>
      </w:r>
    </w:p>
    <w:p>
      <w:pPr>
        <w:spacing w:before="0" w:after="180"/>
      </w:pPr>
      <w:r>
        <w:rPr>
          <w:b w:val="0"/>
          <w:i w:val="0"/>
          <w:sz w:val="24"/>
        </w:rPr>
        <w:t>The strongest internal moves eventually let you say: “I entered a new context. I was trusted to make this kind of judgment. Here is what changed.”</w:t>
      </w:r>
    </w:p>
    <w:p>
      <w:pPr>
        <w:spacing w:before="0" w:after="180"/>
      </w:pPr>
      <w:r>
        <w:rPr>
          <w:b w:val="0"/>
          <w:i w:val="0"/>
          <w:sz w:val="24"/>
        </w:rPr>
        <w:t>Before you accept, ask how success is measured, which outcomes you would actually own, and what a strong first year would allow you to point to.</w:t>
      </w:r>
    </w:p>
    <w:p>
      <w:pPr>
        <w:spacing w:before="320" w:after="120"/>
        <w:keepNext w:val="1"/>
        <w:keepLines w:val="1"/>
      </w:pPr>
      <w:r>
        <w:rPr>
          <w:b/>
          <w:i w:val="0"/>
          <w:color w:val="8A6D1E"/>
          <w:sz w:val="20"/>
        </w:rPr>
        <w:t>READ THE THREE ANSWERS</w:t>
      </w:r>
    </w:p>
    <w:p>
      <w:pPr>
        <w:spacing w:before="0" w:after="180"/>
      </w:pPr>
      <w:r>
        <w:rPr>
          <w:b w:val="0"/>
          <w:i w:val="0"/>
          <w:sz w:val="24"/>
        </w:rPr>
        <w:t>Now put the three answers together.</w:t>
      </w:r>
    </w:p>
    <w:p>
      <w:pPr>
        <w:spacing w:before="0" w:after="180"/>
      </w:pPr>
      <w:r>
        <w:rPr>
          <w:b w:val="0"/>
          <w:i w:val="0"/>
          <w:sz w:val="24"/>
        </w:rPr>
        <w:t>If all three are yes, different work, expanded judgment, and evidence that travels, the developmental case is strong. That does not mean the move is automatically right. It means you can see what the work is likely to build.</w:t>
      </w:r>
    </w:p>
    <w:p>
      <w:pPr>
        <w:spacing w:before="0" w:after="180"/>
      </w:pPr>
      <w:r>
        <w:rPr>
          <w:b w:val="0"/>
          <w:i w:val="0"/>
          <w:sz w:val="24"/>
        </w:rPr>
        <w:t>If two are yes, identify the missing dimension. The role may be worth negotiating rather than rejecting. New work and strong evidence with vague decision authority, for example, gives you a very specific conversation to have.</w:t>
      </w:r>
    </w:p>
    <w:p>
      <w:pPr>
        <w:spacing w:before="0" w:after="180"/>
      </w:pPr>
      <w:r>
        <w:rPr>
          <w:b w:val="0"/>
          <w:i w:val="0"/>
          <w:sz w:val="24"/>
        </w:rPr>
        <w:t>If zero or one is yes, the opportunity may be movement without much growth. It may still be the right choice for reasons that matter in your real life. Just be accurate about what the work is giving you.</w:t>
      </w:r>
    </w:p>
    <w:p>
      <w:pPr>
        <w:spacing w:before="0" w:after="180"/>
      </w:pPr>
      <w:r>
        <w:rPr>
          <w:b w:val="0"/>
          <w:i w:val="0"/>
          <w:sz w:val="24"/>
        </w:rPr>
        <w:t>And do not assume the external option automatically wins. A new employer can give you a new logo and the same work. Compare the actual access to different work, stronger judgment, and clearer evidence.</w:t>
      </w:r>
    </w:p>
    <w:p>
      <w:pPr>
        <w:spacing w:before="320" w:after="120"/>
        <w:keepNext w:val="1"/>
        <w:keepLines w:val="1"/>
      </w:pPr>
      <w:r>
        <w:rPr>
          <w:b/>
          <w:i w:val="0"/>
          <w:color w:val="8A6D1E"/>
          <w:sz w:val="20"/>
        </w:rPr>
        <w:t>WHAT THIS TEST CANNOT SOLVE</w:t>
      </w:r>
    </w:p>
    <w:p>
      <w:pPr>
        <w:spacing w:before="0" w:after="180"/>
      </w:pPr>
      <w:r>
        <w:rPr>
          <w:b w:val="0"/>
          <w:i w:val="0"/>
          <w:sz w:val="24"/>
        </w:rPr>
        <w:t>These three questions read the work. They do not replace the rest of the decision.</w:t>
      </w:r>
    </w:p>
    <w:p>
      <w:pPr>
        <w:spacing w:before="0" w:after="180"/>
      </w:pPr>
      <w:r>
        <w:rPr>
          <w:b w:val="0"/>
          <w:i w:val="0"/>
          <w:sz w:val="24"/>
        </w:rPr>
        <w:t>Your company may not contain the work you need. A current manager may control access. An old reputation may follow you. Compensation bands or organizational politics may limit what is possible. Bias and age discrimination can shape who gets access to opportunities.</w:t>
      </w:r>
    </w:p>
    <w:p>
      <w:pPr>
        <w:spacing w:before="0" w:after="180"/>
      </w:pPr>
      <w:r>
        <w:rPr>
          <w:b w:val="0"/>
          <w:i w:val="0"/>
          <w:sz w:val="24"/>
        </w:rPr>
        <w:t>And career decisions sit inside real lives. Compensation, caregiving, benefits, immigration status, health, safety, energy, stability, and timing can legitimately outweigh the developmental case.</w:t>
      </w:r>
    </w:p>
    <w:p>
      <w:pPr>
        <w:spacing w:before="0" w:after="180"/>
      </w:pPr>
      <w:r>
        <w:rPr>
          <w:b w:val="0"/>
          <w:i w:val="0"/>
          <w:sz w:val="24"/>
        </w:rPr>
        <w:t>If the environment is harming your health or safety, or you are dealing with harassment, discrimination, or another urgent threat, protecting yourself and getting appropriate support comes first.</w:t>
      </w:r>
    </w:p>
    <w:p>
      <w:pPr>
        <w:spacing w:before="320" w:after="120"/>
        <w:keepNext w:val="1"/>
        <w:keepLines w:val="1"/>
      </w:pPr>
      <w:r>
        <w:rPr>
          <w:b/>
          <w:i w:val="0"/>
          <w:color w:val="8A6D1E"/>
          <w:sz w:val="20"/>
        </w:rPr>
        <w:t>ONE NEXT STEP + CTA</w:t>
      </w:r>
    </w:p>
    <w:p>
      <w:pPr>
        <w:spacing w:before="0" w:after="180"/>
      </w:pPr>
      <w:r>
        <w:rPr>
          <w:b w:val="0"/>
          <w:i w:val="0"/>
          <w:sz w:val="24"/>
        </w:rPr>
        <w:t>Before your next internal conversation, write one sentence under each question:</w:t>
      </w:r>
    </w:p>
    <w:p>
      <w:pPr>
        <w:spacing w:before="0" w:after="180"/>
      </w:pPr>
      <w:r>
        <w:rPr>
          <w:b w:val="0"/>
          <w:i w:val="0"/>
          <w:sz w:val="24"/>
        </w:rPr>
        <w:t>What different work will I enter?</w:t>
      </w:r>
    </w:p>
    <w:p>
      <w:pPr>
        <w:spacing w:before="0" w:after="180"/>
      </w:pPr>
      <w:r>
        <w:rPr>
          <w:b w:val="0"/>
          <w:i w:val="0"/>
          <w:sz w:val="24"/>
        </w:rPr>
        <w:t>What judgment will I be trusted to carry?</w:t>
      </w:r>
    </w:p>
    <w:p>
      <w:pPr>
        <w:spacing w:before="0" w:after="180"/>
      </w:pPr>
      <w:r>
        <w:rPr>
          <w:b w:val="0"/>
          <w:i w:val="0"/>
          <w:sz w:val="24"/>
        </w:rPr>
        <w:t>What evidence could I explain a year from now?</w:t>
      </w:r>
    </w:p>
    <w:p>
      <w:pPr>
        <w:spacing w:before="0" w:after="180"/>
      </w:pPr>
      <w:r>
        <w:rPr>
          <w:b w:val="0"/>
          <w:i w:val="0"/>
          <w:sz w:val="24"/>
        </w:rPr>
        <w:t>If you are actively deciding whether to stay, move internally, or leave, the free Career Decision Evidence Check gives you a structured way to read the evidence behind that choice. It is linked below.</w:t>
      </w:r>
    </w:p>
    <w:p>
      <w:pPr>
        <w:spacing w:before="320" w:after="120"/>
        <w:keepNext w:val="1"/>
        <w:keepLines w:val="1"/>
      </w:pPr>
      <w:r>
        <w:rPr>
          <w:b/>
          <w:i w:val="0"/>
          <w:color w:val="8A6D1E"/>
          <w:sz w:val="20"/>
        </w:rPr>
        <w:t>WATCH NEXT</w:t>
      </w:r>
    </w:p>
    <w:p>
      <w:pPr>
        <w:spacing w:before="0" w:after="180"/>
      </w:pPr>
      <w:r>
        <w:rPr>
          <w:b w:val="0"/>
          <w:i w:val="0"/>
          <w:sz w:val="24"/>
        </w:rPr>
        <w:t>And before you call any opportunity growth, there is one more distinction you need to make.</w:t>
      </w:r>
    </w:p>
    <w:p>
      <w:pPr>
        <w:spacing w:before="0" w:after="180"/>
      </w:pPr>
      <w:r>
        <w:rPr>
          <w:b w:val="0"/>
          <w:i w:val="0"/>
          <w:sz w:val="24"/>
        </w:rPr>
        <w:t>More responsibility can mean you are growing. It can also mean the organization has learned that you will absorb more.</w:t>
      </w:r>
    </w:p>
    <w:p>
      <w:pPr>
        <w:spacing w:before="0" w:after="180"/>
      </w:pPr>
      <w:r>
        <w:rPr>
          <w:b w:val="0"/>
          <w:i w:val="0"/>
          <w:sz w:val="24"/>
        </w:rPr>
        <w:t>That is what we are testing next in “Are You Growing, or Just Being Given More Work?”</w:t>
      </w:r>
    </w:p>
    <w:p>
      <w:pPr>
        <w:spacing w:before="0" w:after="180"/>
      </w:pPr>
      <w:r>
        <w:rPr>
          <w:b w:val="0"/>
          <w:i w:val="0"/>
          <w:sz w:val="24"/>
        </w:rPr>
        <w:t>You may not need to leave. But the work does need to change.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