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CAPABILITY FORMATION | V4-V21 STORYTELLING LENS CHANGE LOG</w:t>
      </w:r>
    </w:p>
    <w:p>
      <w:pPr>
        <w:jc w:val="center"/>
      </w:pPr>
      <w:r>
        <w:rPr>
          <w:i/>
        </w:rPr>
        <w:t>September 13, 2026 | CT</w:t>
      </w:r>
    </w:p>
    <w:p>
      <w:r>
        <w:t>Purpose: Apply a stronger human storytelling and conversational teaching lens without changing the approved intellectual architecture, runtime strategy, core frameworks, boundaries, CTAs, or Watch Next intent.</w:t>
      </w:r>
    </w:p>
    <w:p>
      <w:r>
        <w:t>Standing rule: Story first enough to create recognition, then distinction/framework, then example/application. Simple spoken English does not mean less thinking. No invented first-person experience was added. Constructed viewer scenes are framed as illustrations, not personal claims.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Video</w:t>
            </w:r>
          </w:p>
        </w:tc>
        <w:tc>
          <w:tcPr>
            <w:tcW w:type="dxa" w:w="2556"/>
          </w:tcPr>
          <w:p>
            <w:r>
              <w:t>Title</w:t>
            </w:r>
          </w:p>
        </w:tc>
        <w:tc>
          <w:tcPr>
            <w:tcW w:type="dxa" w:w="2556"/>
          </w:tcPr>
          <w:p>
            <w:r>
              <w:t>Story-led spoken words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I Was First in 3 New Roles in 5 Years. Here's What I Stopped Doing.</w:t>
            </w:r>
          </w:p>
        </w:tc>
        <w:tc>
          <w:tcPr>
            <w:tcW w:type="dxa" w:w="2556"/>
          </w:tcPr>
          <w:p>
            <w:r>
              <w:t>874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I Changed Career Tracks Without Starting Over. Here's What I Carried With Me.</w:t>
            </w:r>
          </w:p>
        </w:tc>
        <w:tc>
          <w:tcPr>
            <w:tcW w:type="dxa" w:w="2556"/>
          </w:tcPr>
          <w:p>
            <w:r>
              <w:t>867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I've Worked Across 8 Industries and Sectors. Here's How I Know If a New Role Is Actually Growth.</w:t>
            </w:r>
          </w:p>
        </w:tc>
        <w:tc>
          <w:tcPr>
            <w:tcW w:type="dxa" w:w="2556"/>
          </w:tcPr>
          <w:p>
            <w:r>
              <w:t>1340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It Took Me Years to Stop Mistaking More Work for Career Growth</w:t>
            </w:r>
          </w:p>
        </w:tc>
        <w:tc>
          <w:tcPr>
            <w:tcW w:type="dxa" w:w="2556"/>
          </w:tcPr>
          <w:p>
            <w:r>
              <w:t>1345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How to Show Your Impact at Work When You Built It From Scratch</w:t>
            </w:r>
          </w:p>
        </w:tc>
        <w:tc>
          <w:tcPr>
            <w:tcW w:type="dxa" w:w="2556"/>
          </w:tcPr>
          <w:p>
            <w:r>
              <w:t>1413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How to Change Industries Without Starting Over</w:t>
            </w:r>
          </w:p>
        </w:tc>
        <w:tc>
          <w:tcPr>
            <w:tcW w:type="dxa" w:w="2556"/>
          </w:tcPr>
          <w:p>
            <w:r>
              <w:t>1278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Before a Layoff, Know What You Can Still Prove</w:t>
            </w:r>
          </w:p>
        </w:tc>
        <w:tc>
          <w:tcPr>
            <w:tcW w:type="dxa" w:w="2556"/>
          </w:tcPr>
          <w:p>
            <w:r>
              <w:t>1229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AI Can Do the Task. What Are You Still Paid For?</w:t>
            </w:r>
          </w:p>
        </w:tc>
        <w:tc>
          <w:tcPr>
            <w:tcW w:type="dxa" w:w="2556"/>
          </w:tcPr>
          <w:p>
            <w:r>
              <w:t>1302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What to Do When You Can’t Quit Your Job Yet</w:t>
            </w:r>
          </w:p>
        </w:tc>
        <w:tc>
          <w:tcPr>
            <w:tcW w:type="dxa" w:w="2556"/>
          </w:tcPr>
          <w:p>
            <w:r>
              <w:t>1299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A 30-Day Plan to Test Your Next Career Move</w:t>
            </w:r>
          </w:p>
        </w:tc>
        <w:tc>
          <w:tcPr>
            <w:tcW w:type="dxa" w:w="2556"/>
          </w:tcPr>
          <w:p>
            <w:r>
              <w:t>1377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Which Parts of Your Experience Actually Transfer to Another Industry?</w:t>
            </w:r>
          </w:p>
        </w:tc>
        <w:tc>
          <w:tcPr>
            <w:tcW w:type="dxa" w:w="2556"/>
          </w:tcPr>
          <w:p>
            <w:r>
              <w:t>1365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The Career Gaps You Don't See Until the Work Gets Harder</w:t>
            </w:r>
          </w:p>
        </w:tc>
        <w:tc>
          <w:tcPr>
            <w:tcW w:type="dxa" w:w="2556"/>
          </w:tcPr>
          <w:p>
            <w:r>
              <w:t>1493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What to Do When Your Work Is Valued but You Are Overlooked</w:t>
            </w:r>
          </w:p>
        </w:tc>
        <w:tc>
          <w:tcPr>
            <w:tcW w:type="dxa" w:w="2556"/>
          </w:tcPr>
          <w:p>
            <w:r>
              <w:t>1311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How to Prove Your Value When AI Does More of the Task</w:t>
            </w:r>
          </w:p>
        </w:tc>
        <w:tc>
          <w:tcPr>
            <w:tcW w:type="dxa" w:w="2556"/>
          </w:tcPr>
          <w:p>
            <w:r>
              <w:t>1432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Should You Stay an Individual Contributor or Become a Manager?</w:t>
            </w:r>
          </w:p>
        </w:tc>
        <w:tc>
          <w:tcPr>
            <w:tcW w:type="dxa" w:w="2556"/>
          </w:tcPr>
          <w:p>
            <w:r>
              <w:t>1400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Should You Become a Consultant? The Part Everyone Leaves Out</w:t>
            </w:r>
          </w:p>
        </w:tc>
        <w:tc>
          <w:tcPr>
            <w:tcW w:type="dxa" w:w="2556"/>
          </w:tcPr>
          <w:p>
            <w:r>
              <w:t>1577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How to Return After a Career Break Without Starting at Zero</w:t>
            </w:r>
          </w:p>
        </w:tc>
        <w:tc>
          <w:tcPr>
            <w:tcW w:type="dxa" w:w="2556"/>
          </w:tcPr>
          <w:p>
            <w:r>
              <w:t>1413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  <w:tr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What You Must Relearn When You Change Industries</w:t>
            </w:r>
          </w:p>
        </w:tc>
        <w:tc>
          <w:tcPr>
            <w:tcW w:type="dxa" w:w="2556"/>
          </w:tcPr>
          <w:p>
            <w:r>
              <w:t>1437</w:t>
            </w:r>
          </w:p>
        </w:tc>
        <w:tc>
          <w:tcPr>
            <w:tcW w:type="dxa" w:w="2556"/>
          </w:tcPr>
          <w:p>
            <w:r>
              <w:t>Story-led conversational revision complete</w:t>
            </w:r>
          </w:p>
        </w:tc>
      </w:tr>
    </w:tbl>
    <w:p>
      <w:r>
        <w:t>What changed across the set:</w:t>
      </w:r>
    </w:p>
    <w:p>
      <w:pPr>
        <w:pStyle w:val="ListBullet"/>
      </w:pPr>
      <w:r>
        <w:t>Added a concrete human scene or recognizable moment near the opening so the viewer feels the problem before the framework is named.</w:t>
      </w:r>
    </w:p>
    <w:p>
      <w:pPr>
        <w:pStyle w:val="ListBullet"/>
      </w:pPr>
      <w:r>
        <w:t>Added spoken bridges that connect the scene to the teaching instead of jumping abruptly from hook to framework.</w:t>
      </w:r>
    </w:p>
    <w:p>
      <w:pPr>
        <w:pStyle w:val="ListBullet"/>
      </w:pPr>
      <w:r>
        <w:t>Added a conversational application bridge so the viewer can bring the idea back to one real role, task, or decision.</w:t>
      </w:r>
    </w:p>
    <w:p>
      <w:pPr>
        <w:pStyle w:val="ListBullet"/>
      </w:pPr>
      <w:r>
        <w:t>Preserved the approved frameworks, evidence boundaries, real-world constraints, CTA intent, and Watch Next destinations.</w:t>
      </w:r>
    </w:p>
    <w:p>
      <w:pPr>
        <w:pStyle w:val="ListBullet"/>
      </w:pPr>
      <w:r>
        <w:t>Kept section labels as production/recording aids. They are not written as lines Temidayo must announce on camera.</w:t>
      </w:r>
    </w:p>
    <w:p>
      <w:pPr>
        <w:pStyle w:val="ListBullet"/>
      </w:pPr>
      <w:r>
        <w:t>Removed em dashes and retained U.S. English.</w:t>
      </w:r>
    </w:p>
    <w:p>
      <w:pPr>
        <w:pStyle w:val="ListBullet"/>
      </w:pPr>
      <w:r>
        <w:t>Created thought-block copies from the final story-led scripts. Spoken wording is unchanged inside thought blocks.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