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12" w:lineRule="auto"/>
      </w:pPr>
      <w:r>
        <w:rPr>
          <w:b/>
          <w:i w:val="0"/>
          <w:color w:val="9B2C10"/>
          <w:sz w:val="44"/>
        </w:rPr>
        <w:t>EDITOR ONLY</w:t>
      </w:r>
    </w:p>
    <w:p>
      <w:pPr>
        <w:spacing w:before="0" w:after="40" w:line="312" w:lineRule="auto"/>
      </w:pPr>
      <w:r>
        <w:rPr>
          <w:b/>
          <w:i w:val="0"/>
          <w:caps/>
          <w:color w:val="8A6D1E"/>
          <w:sz w:val="24"/>
        </w:rPr>
        <w:t>VIDEO 2</w:t>
      </w:r>
    </w:p>
    <w:p>
      <w:pPr>
        <w:spacing w:before="0" w:after="120" w:line="264" w:lineRule="auto"/>
      </w:pPr>
      <w:r>
        <w:rPr>
          <w:b/>
          <w:i w:val="0"/>
          <w:color w:val="0F2346"/>
          <w:sz w:val="40"/>
        </w:rPr>
        <w:t>Is Your Job Making You Less Marketable?</w:t>
      </w:r>
    </w:p>
    <w:p>
      <w:pPr>
        <w:spacing w:before="0" w:after="320" w:line="300" w:lineRule="auto"/>
        <w:shd w:val="clear" w:fill="F3F0E8"/>
      </w:pPr>
      <w:r>
        <w:rPr>
          <w:b w:val="0"/>
          <w:i/>
          <w:color w:val="5A6B82"/>
          <w:sz w:val="22"/>
        </w:rPr>
        <w:t>This document is for the editor. It is NOT Temidayo's teleprompter and must not be placed on the recording screen.</w:t>
      </w:r>
    </w:p>
    <w:p>
      <w:pPr>
        <w:spacing w:before="400" w:after="160" w:line="312" w:lineRule="auto"/>
        <w:keepLines w:val="1"/>
        <w:keepNext w:val="1"/>
      </w:pPr>
      <w:r>
        <w:rPr>
          <w:b/>
          <w:i w:val="0"/>
          <w:color w:val="0F2346"/>
          <w:sz w:val="28"/>
        </w:rPr>
        <w:t>Locked metadata</w:t>
      </w:r>
    </w:p>
    <w:p>
      <w:pPr>
        <w:spacing w:before="0" w:after="100" w:line="312" w:lineRule="auto"/>
        <w:keepLines w:val="1"/>
      </w:pPr>
      <w:r>
        <w:rPr>
          <w:b w:val="0"/>
          <w:i w:val="0"/>
          <w:sz w:val="22"/>
        </w:rPr>
        <w:t>Title:             Is Your Job Making You Less Marketable?</w:t>
      </w:r>
    </w:p>
    <w:p>
      <w:pPr>
        <w:spacing w:before="0" w:after="100" w:line="312" w:lineRule="auto"/>
        <w:keepLines w:val="1"/>
      </w:pPr>
      <w:r>
        <w:rPr>
          <w:b w:val="0"/>
          <w:i w:val="0"/>
          <w:sz w:val="22"/>
        </w:rPr>
        <w:t>Thumbnail:         YOUR SKILLS ARE STALLING</w:t>
      </w:r>
    </w:p>
    <w:p>
      <w:pPr>
        <w:spacing w:before="0" w:after="100" w:line="312" w:lineRule="auto"/>
        <w:keepLines w:val="1"/>
      </w:pPr>
      <w:r>
        <w:rPr>
          <w:b w:val="0"/>
          <w:i w:val="0"/>
          <w:sz w:val="22"/>
        </w:rPr>
        <w:t>Primary CTA:       Capability Formation Field Kit</w:t>
      </w:r>
    </w:p>
    <w:p>
      <w:pPr>
        <w:spacing w:before="0" w:after="100" w:line="312" w:lineRule="auto"/>
        <w:keepLines w:val="1"/>
      </w:pPr>
      <w:r>
        <w:rPr>
          <w:b w:val="0"/>
          <w:i w:val="0"/>
          <w:sz w:val="22"/>
        </w:rPr>
        <w:t>CTA URL:           https://temidayoafonja.com/fieldkit</w:t>
      </w:r>
    </w:p>
    <w:p>
      <w:pPr>
        <w:spacing w:before="0" w:after="100" w:line="312" w:lineRule="auto"/>
        <w:keepLines w:val="1"/>
      </w:pPr>
      <w:r>
        <w:rPr>
          <w:b w:val="0"/>
          <w:i w:val="0"/>
          <w:sz w:val="22"/>
        </w:rPr>
        <w:t>Watch next:        3 Things to Do Before Quitting Your Job</w:t>
      </w:r>
    </w:p>
    <w:p>
      <w:pPr>
        <w:spacing w:before="0" w:after="100" w:line="312" w:lineRule="auto"/>
        <w:keepLines w:val="1"/>
      </w:pPr>
      <w:r>
        <w:rPr>
          <w:b w:val="0"/>
          <w:i w:val="0"/>
          <w:sz w:val="22"/>
        </w:rPr>
        <w:t>Core distinction:  VALUABLE HERE is not automatically the same as LEGIBLE ELSEWHERE.</w:t>
      </w:r>
    </w:p>
    <w:p>
      <w:pPr>
        <w:spacing w:before="400" w:after="160" w:line="312" w:lineRule="auto"/>
        <w:keepLines w:val="1"/>
        <w:keepNext w:val="1"/>
      </w:pPr>
      <w:r>
        <w:rPr>
          <w:b/>
          <w:i w:val="0"/>
          <w:color w:val="0F2346"/>
          <w:sz w:val="28"/>
        </w:rPr>
        <w:t>First 30 seconds — H.I.T.</w:t>
      </w:r>
    </w:p>
    <w:p>
      <w:pPr>
        <w:spacing w:before="0" w:after="240" w:line="312" w:lineRule="auto"/>
      </w:pPr>
      <w:r>
        <w:rPr>
          <w:b w:val="0"/>
          <w:i w:val="0"/>
          <w:sz w:val="22"/>
        </w:rPr>
        <w:t>H = Hook.  I = Interest.  T = Trust. The opening must work as an audiovisual unit: immediate conversational hook, meaningful visual interest, a concrete reason to trust Temidayo, and a clear viewer payoff by roughly 20 to 30 seconds. Do not force a statistic into the opening.</w:t>
      </w:r>
    </w:p>
    <w:p>
      <w:pPr>
        <w:spacing w:before="0" w:after="280" w:line="312" w:lineRule="auto"/>
      </w:pPr>
      <w:r>
        <w:rPr>
          <w:b w:val="0"/>
          <w:i/>
          <w:color w:val="5A6B82"/>
          <w:sz w:val="22"/>
        </w:rPr>
        <w:t>This supersedes the older Video 2 opening and any earlier instruction that kept Temidayo visually static or full-screen for approximately the first 55 seconds.</w:t>
      </w:r>
    </w:p>
    <w:p>
      <w:pPr>
        <w:spacing w:before="260" w:after="100" w:line="312" w:lineRule="auto"/>
        <w:keepLines w:val="1"/>
        <w:keepNext w:val="1"/>
      </w:pPr>
      <w:r>
        <w:rPr>
          <w:b/>
          <w:i w:val="0"/>
          <w:color w:val="0F2346"/>
          <w:sz w:val="23"/>
        </w:rPr>
        <w:t>0:00–0:06</w:t>
      </w:r>
    </w:p>
    <w:p>
      <w:pPr>
        <w:spacing w:before="0" w:after="160" w:line="312" w:lineRule="auto"/>
        <w:shd w:val="clear" w:fill="F3F0E8"/>
      </w:pPr>
      <w:r>
        <w:rPr>
          <w:b w:val="0"/>
          <w:i/>
          <w:color w:val="5A6B82"/>
          <w:sz w:val="21"/>
        </w:rPr>
        <w:t>Spoken anchor:  “You can be doing very well at work and still be narrowing your next options.”</w:t>
      </w:r>
    </w:p>
    <w:p>
      <w:pPr>
        <w:spacing w:before="0" w:after="120" w:line="312" w:lineRule="auto"/>
        <w:keepLines w:val="1"/>
      </w:pPr>
      <w:r>
        <w:rPr>
          <w:b/>
          <w:i w:val="0"/>
          <w:color w:val="8A6D1E"/>
          <w:sz w:val="22"/>
        </w:rPr>
        <w:t>H = HOOK</w:t>
      </w:r>
    </w:p>
    <w:p>
      <w:pPr>
        <w:spacing w:before="0" w:after="100" w:line="312" w:lineRule="auto"/>
        <w:keepLines w:val="1"/>
      </w:pPr>
      <w:r>
        <w:rPr>
          <w:b w:val="0"/>
          <w:i w:val="0"/>
          <w:sz w:val="22"/>
        </w:rPr>
        <w:t>Visual: begin on Temidayo, medium/tight, direct to camera.</w:t>
      </w:r>
    </w:p>
    <w:p>
      <w:pPr>
        <w:spacing w:before="0" w:after="100" w:line="312" w:lineRule="auto"/>
        <w:keepLines w:val="1"/>
      </w:pPr>
      <w:r>
        <w:rPr>
          <w:b w:val="0"/>
          <w:i w:val="0"/>
          <w:sz w:val="22"/>
        </w:rPr>
        <w:t>On-screen text: DOING WELL. FEWER OPTIONS?</w:t>
      </w:r>
    </w:p>
    <w:p>
      <w:pPr>
        <w:spacing w:before="0" w:after="100" w:line="312" w:lineRule="auto"/>
        <w:keepLines w:val="1"/>
      </w:pPr>
      <w:r>
        <w:rPr>
          <w:b w:val="0"/>
          <w:i w:val="0"/>
          <w:sz w:val="22"/>
        </w:rPr>
        <w:t>Do not use a title card before this.</w:t>
      </w:r>
    </w:p>
    <w:p>
      <w:pPr>
        <w:spacing w:before="260" w:after="100" w:line="312" w:lineRule="auto"/>
        <w:keepLines w:val="1"/>
        <w:keepNext w:val="1"/>
      </w:pPr>
      <w:r>
        <w:rPr>
          <w:b/>
          <w:i w:val="0"/>
          <w:color w:val="0F2346"/>
          <w:sz w:val="23"/>
        </w:rPr>
        <w:t>0:06–0:14</w:t>
      </w:r>
    </w:p>
    <w:p>
      <w:pPr>
        <w:spacing w:before="0" w:after="160" w:line="312" w:lineRule="auto"/>
        <w:shd w:val="clear" w:fill="F3F0E8"/>
      </w:pPr>
      <w:r>
        <w:rPr>
          <w:b w:val="0"/>
          <w:i/>
          <w:color w:val="5A6B82"/>
          <w:sz w:val="21"/>
        </w:rPr>
        <w:t>Spoken anchor:  “My own career has crossed very different functions and industries…”</w:t>
      </w:r>
    </w:p>
    <w:p>
      <w:pPr>
        <w:spacing w:before="0" w:after="120" w:line="312" w:lineRule="auto"/>
        <w:keepLines w:val="1"/>
      </w:pPr>
      <w:r>
        <w:rPr>
          <w:b/>
          <w:i w:val="0"/>
          <w:color w:val="8A6D1E"/>
          <w:sz w:val="22"/>
        </w:rPr>
        <w:t>T = TRUST   ·   I = INTEREST</w:t>
      </w:r>
    </w:p>
    <w:p>
      <w:pPr>
        <w:spacing w:before="0" w:after="100" w:line="312" w:lineRule="auto"/>
        <w:keepLines w:val="1"/>
      </w:pPr>
      <w:r>
        <w:rPr>
          <w:b w:val="0"/>
          <w:i w:val="0"/>
          <w:sz w:val="22"/>
        </w:rPr>
        <w:t>Show a restrained visual proof of the career path. Short labels only:</w:t>
      </w:r>
    </w:p>
    <w:p>
      <w:pPr>
        <w:spacing w:before="0" w:after="100" w:line="312" w:lineRule="auto"/>
        <w:keepLines w:val="1"/>
      </w:pPr>
      <w:r>
        <w:rPr>
          <w:b w:val="0"/>
          <w:i w:val="0"/>
          <w:sz w:val="22"/>
        </w:rPr>
        <w:t xml:space="preserve">     ACCOUNTING &amp; AUDIT  →  CYBER / PRIVACY  →  PEOPLE / EMPLOYEE EXPERIENCE  →  TRANSFORMATION</w:t>
      </w:r>
    </w:p>
    <w:p>
      <w:pPr>
        <w:spacing w:before="0" w:after="100" w:line="312" w:lineRule="auto"/>
        <w:keepLines w:val="1"/>
      </w:pPr>
      <w:r>
        <w:rPr>
          <w:b w:val="0"/>
          <w:i w:val="0"/>
          <w:sz w:val="22"/>
        </w:rPr>
        <w:t>IMPORTANT: Temidayo deliberately does NOT recite these chapters aloud. The visual carries the chronology; her spoken words carry the meaning.</w:t>
      </w:r>
    </w:p>
    <w:p>
      <w:pPr>
        <w:spacing w:before="0" w:after="100" w:line="312" w:lineRule="auto"/>
        <w:keepLines w:val="1"/>
      </w:pPr>
      <w:r>
        <w:rPr>
          <w:b w:val="0"/>
          <w:i w:val="0"/>
          <w:sz w:val="22"/>
        </w:rPr>
        <w:t>Do not change the PowerPoint deck to accomplish this. Use a simple editorial overlay or approved visual treatment.</w:t>
      </w:r>
    </w:p>
    <w:p>
      <w:pPr>
        <w:spacing w:before="260" w:after="100" w:line="312" w:lineRule="auto"/>
        <w:keepLines w:val="1"/>
        <w:keepNext w:val="1"/>
      </w:pPr>
      <w:r>
        <w:rPr>
          <w:b/>
          <w:i w:val="0"/>
          <w:color w:val="0F2346"/>
          <w:sz w:val="23"/>
        </w:rPr>
        <w:t>0:14–0:23</w:t>
      </w:r>
    </w:p>
    <w:p>
      <w:pPr>
        <w:spacing w:before="0" w:after="160" w:line="312" w:lineRule="auto"/>
        <w:shd w:val="clear" w:fill="F3F0E8"/>
      </w:pPr>
      <w:r>
        <w:rPr>
          <w:b w:val="0"/>
          <w:i/>
          <w:color w:val="5A6B82"/>
          <w:sz w:val="21"/>
        </w:rPr>
        <w:t>Spoken anchor:  “Being valuable here is not the same as being legible somewhere else.”</w:t>
      </w:r>
    </w:p>
    <w:p>
      <w:pPr>
        <w:spacing w:before="0" w:after="100" w:line="312" w:lineRule="auto"/>
        <w:keepLines w:val="1"/>
      </w:pPr>
      <w:r>
        <w:rPr>
          <w:b w:val="0"/>
          <w:i w:val="0"/>
          <w:sz w:val="22"/>
        </w:rPr>
        <w:t>Bring forward:  VALUABLE HERE  vs.  LEGIBLE ELSEWHERE</w:t>
      </w:r>
    </w:p>
    <w:p>
      <w:pPr>
        <w:spacing w:before="0" w:after="100" w:line="312" w:lineRule="auto"/>
        <w:keepLines w:val="1"/>
      </w:pPr>
      <w:r>
        <w:rPr>
          <w:b w:val="0"/>
          <w:i w:val="0"/>
          <w:sz w:val="22"/>
        </w:rPr>
        <w:t>This should visually establish the central idea of the video.</w:t>
      </w:r>
    </w:p>
    <w:p>
      <w:pPr>
        <w:spacing w:before="260" w:after="100" w:line="312" w:lineRule="auto"/>
        <w:keepLines w:val="1"/>
        <w:keepNext w:val="1"/>
      </w:pPr>
      <w:r>
        <w:rPr>
          <w:b/>
          <w:i w:val="0"/>
          <w:color w:val="0F2346"/>
          <w:sz w:val="23"/>
        </w:rPr>
        <w:t>0:23–0:30</w:t>
      </w:r>
    </w:p>
    <w:p>
      <w:pPr>
        <w:spacing w:before="0" w:after="160" w:line="312" w:lineRule="auto"/>
        <w:shd w:val="clear" w:fill="F3F0E8"/>
      </w:pPr>
      <w:r>
        <w:rPr>
          <w:b w:val="0"/>
          <w:i/>
          <w:color w:val="5A6B82"/>
          <w:sz w:val="21"/>
        </w:rPr>
        <w:t>Spoken anchor:  “Here are three tests…”</w:t>
      </w:r>
    </w:p>
    <w:p>
      <w:pPr>
        <w:spacing w:before="0" w:after="100" w:line="312" w:lineRule="auto"/>
        <w:keepLines w:val="1"/>
      </w:pPr>
      <w:r>
        <w:rPr>
          <w:b w:val="0"/>
          <w:i w:val="0"/>
          <w:sz w:val="22"/>
        </w:rPr>
        <w:t>Return cleanly to Temidayo.</w:t>
      </w:r>
    </w:p>
    <w:p>
      <w:pPr>
        <w:spacing w:before="0" w:after="100" w:line="312" w:lineRule="auto"/>
        <w:keepLines w:val="1"/>
      </w:pPr>
      <w:r>
        <w:rPr>
          <w:b w:val="0"/>
          <w:i w:val="0"/>
          <w:sz w:val="22"/>
        </w:rPr>
        <w:t>Optional small text: 3 MARKETABILITY TESTS</w:t>
      </w:r>
    </w:p>
    <w:p>
      <w:pPr>
        <w:spacing w:before="0" w:after="100" w:line="312" w:lineRule="auto"/>
        <w:keepLines w:val="1"/>
      </w:pPr>
      <w:r>
        <w:rPr>
          <w:b w:val="0"/>
          <w:i w:val="0"/>
          <w:sz w:val="22"/>
        </w:rPr>
        <w:t>The viewer should understand the payoff before the teaching begins.</w:t>
      </w:r>
    </w:p>
    <w:p>
      <w:pPr>
        <w:spacing w:before="400" w:after="160" w:line="312" w:lineRule="auto"/>
        <w:keepLines w:val="1"/>
        <w:keepNext w:val="1"/>
      </w:pPr>
      <w:r>
        <w:rPr>
          <w:b/>
          <w:i w:val="0"/>
          <w:color w:val="0F2346"/>
          <w:sz w:val="28"/>
        </w:rPr>
        <w:t>Editorial rhythm after 0:30</w:t>
      </w:r>
    </w:p>
    <w:p>
      <w:pPr>
        <w:spacing w:before="0" w:after="200" w:line="312" w:lineRule="auto"/>
      </w:pPr>
      <w:r>
        <w:rPr>
          <w:b w:val="0"/>
          <w:i w:val="0"/>
          <w:sz w:val="22"/>
        </w:rPr>
        <w:t>The opening is intentionally more visually active than the remainder of the video. Do NOT read H.I.T. as permission for constant visual movement.</w:t>
      </w:r>
    </w:p>
    <w:p>
      <w:pPr>
        <w:spacing w:before="0" w:after="120" w:line="312" w:lineRule="auto"/>
      </w:pPr>
      <w:r>
        <w:rPr>
          <w:b w:val="0"/>
          <w:i w:val="0"/>
          <w:sz w:val="22"/>
        </w:rPr>
        <w:t>Once the viewer is inside the teaching:</w:t>
      </w:r>
    </w:p>
    <w:p>
      <w:pPr>
        <w:spacing w:before="0" w:after="80" w:line="312" w:lineRule="auto"/>
        <w:keepLines w:val="1"/>
      </w:pPr>
      <w:r>
        <w:rPr>
          <w:b w:val="0"/>
          <w:i w:val="0"/>
          <w:sz w:val="22"/>
        </w:rPr>
        <w:t>—  preserve Temidayo's natural pacing;</w:t>
      </w:r>
    </w:p>
    <w:p>
      <w:pPr>
        <w:spacing w:before="0" w:after="80" w:line="312" w:lineRule="auto"/>
        <w:keepLines w:val="1"/>
      </w:pPr>
      <w:r>
        <w:rPr>
          <w:b w:val="0"/>
          <w:i w:val="0"/>
          <w:sz w:val="22"/>
        </w:rPr>
        <w:t>—  use the existing slides as teaching support;</w:t>
      </w:r>
    </w:p>
    <w:p>
      <w:pPr>
        <w:spacing w:before="0" w:after="80" w:line="312" w:lineRule="auto"/>
        <w:keepLines w:val="1"/>
      </w:pPr>
      <w:r>
        <w:rPr>
          <w:b w:val="0"/>
          <w:i w:val="0"/>
          <w:sz w:val="22"/>
        </w:rPr>
        <w:t>—  avoid decorative motion;</w:t>
      </w:r>
    </w:p>
    <w:p>
      <w:pPr>
        <w:spacing w:before="0" w:after="80" w:line="312" w:lineRule="auto"/>
        <w:keepLines w:val="1"/>
      </w:pPr>
      <w:r>
        <w:rPr>
          <w:b w:val="0"/>
          <w:i w:val="0"/>
          <w:sz w:val="22"/>
        </w:rPr>
        <w:t>—  avoid constant punch-ins;</w:t>
      </w:r>
    </w:p>
    <w:p>
      <w:pPr>
        <w:spacing w:before="0" w:after="80" w:line="312" w:lineRule="auto"/>
        <w:keepLines w:val="1"/>
      </w:pPr>
      <w:r>
        <w:rPr>
          <w:b w:val="0"/>
          <w:i w:val="0"/>
          <w:sz w:val="22"/>
        </w:rPr>
        <w:t>—  avoid stock office footage;</w:t>
      </w:r>
    </w:p>
    <w:p>
      <w:pPr>
        <w:spacing w:before="0" w:after="80" w:line="312" w:lineRule="auto"/>
        <w:keepLines w:val="1"/>
      </w:pPr>
      <w:r>
        <w:rPr>
          <w:b w:val="0"/>
          <w:i w:val="0"/>
          <w:sz w:val="22"/>
        </w:rPr>
        <w:t>—  avoid generic résumé B-roll;</w:t>
      </w:r>
    </w:p>
    <w:p>
      <w:pPr>
        <w:spacing w:before="0" w:after="80" w:line="312" w:lineRule="auto"/>
        <w:keepLines w:val="1"/>
      </w:pPr>
      <w:r>
        <w:rPr>
          <w:b w:val="0"/>
          <w:i w:val="0"/>
          <w:sz w:val="22"/>
        </w:rPr>
        <w:t>—  avoid red warning graphics;</w:t>
      </w:r>
    </w:p>
    <w:p>
      <w:pPr>
        <w:spacing w:before="0" w:after="80" w:line="312" w:lineRule="auto"/>
        <w:keepLines w:val="1"/>
      </w:pPr>
      <w:r>
        <w:rPr>
          <w:b w:val="0"/>
          <w:i w:val="0"/>
          <w:sz w:val="22"/>
        </w:rPr>
        <w:t>—  avoid fake urgency;</w:t>
      </w:r>
    </w:p>
    <w:p>
      <w:pPr>
        <w:spacing w:before="0" w:after="80" w:line="312" w:lineRule="auto"/>
        <w:keepLines w:val="1"/>
      </w:pPr>
      <w:r>
        <w:rPr>
          <w:b w:val="0"/>
          <w:i w:val="0"/>
          <w:sz w:val="22"/>
        </w:rPr>
        <w:t>—  avoid flashy transitions.</w:t>
      </w:r>
    </w:p>
    <w:p>
      <w:pPr>
        <w:spacing w:before="160" w:after="200" w:line="312" w:lineRule="auto"/>
      </w:pPr>
      <w:r>
        <w:rPr>
          <w:b w:val="0"/>
          <w:i w:val="0"/>
          <w:sz w:val="22"/>
        </w:rPr>
        <w:t>The edit should feel premium, calm and editorial.</w:t>
      </w:r>
    </w:p>
    <w:p>
      <w:pPr>
        <w:spacing w:before="400" w:after="160" w:line="312" w:lineRule="auto"/>
        <w:keepLines w:val="1"/>
        <w:keepNext w:val="1"/>
      </w:pPr>
      <w:r>
        <w:rPr>
          <w:b/>
          <w:i w:val="0"/>
          <w:color w:val="0F2346"/>
          <w:sz w:val="28"/>
        </w:rPr>
        <w:t>Existing slides</w:t>
      </w:r>
    </w:p>
    <w:p>
      <w:pPr>
        <w:spacing w:before="0" w:after="160" w:line="312" w:lineRule="auto"/>
      </w:pPr>
      <w:r>
        <w:rPr>
          <w:b w:val="0"/>
          <w:i w:val="0"/>
          <w:sz w:val="22"/>
        </w:rPr>
        <w:t>The existing 13-slide Video 2 deck remains UNCHANGED. Do not add or redesign slides. Use each slide for its existing job:</w:t>
      </w:r>
    </w:p>
    <w:p>
      <w:pPr>
        <w:spacing w:before="0" w:after="60" w:line="312" w:lineRule="auto"/>
        <w:keepLines w:val="1"/>
      </w:pPr>
      <w:r>
        <w:rPr>
          <w:b w:val="0"/>
          <w:i w:val="0"/>
          <w:sz w:val="21"/>
        </w:rPr>
        <w:t>Slide 1   Title</w:t>
      </w:r>
    </w:p>
    <w:p>
      <w:pPr>
        <w:spacing w:before="0" w:after="60" w:line="312" w:lineRule="auto"/>
        <w:keepLines w:val="1"/>
      </w:pPr>
      <w:r>
        <w:rPr>
          <w:b w:val="0"/>
          <w:i w:val="0"/>
          <w:sz w:val="21"/>
        </w:rPr>
        <w:t>Slide 2   Valuable Here / Legible Elsewhere</w:t>
      </w:r>
    </w:p>
    <w:p>
      <w:pPr>
        <w:spacing w:before="0" w:after="60" w:line="312" w:lineRule="auto"/>
        <w:keepLines w:val="1"/>
      </w:pPr>
      <w:r>
        <w:rPr>
          <w:b w:val="0"/>
          <w:i w:val="0"/>
          <w:sz w:val="21"/>
        </w:rPr>
        <w:t>Slide 3   01 Remove the Company Nouns</w:t>
      </w:r>
    </w:p>
    <w:p>
      <w:pPr>
        <w:spacing w:before="0" w:after="60" w:line="312" w:lineRule="auto"/>
        <w:keepLines w:val="1"/>
      </w:pPr>
      <w:r>
        <w:rPr>
          <w:b w:val="0"/>
          <w:i w:val="0"/>
          <w:sz w:val="21"/>
        </w:rPr>
        <w:t>Slide 4   Test One</w:t>
      </w:r>
    </w:p>
    <w:p>
      <w:pPr>
        <w:spacing w:before="0" w:after="60" w:line="312" w:lineRule="auto"/>
        <w:keepLines w:val="1"/>
      </w:pPr>
      <w:r>
        <w:rPr>
          <w:b w:val="0"/>
          <w:i w:val="0"/>
          <w:sz w:val="21"/>
        </w:rPr>
        <w:t>Slide 5   02 Find Outside-Context Evidence</w:t>
      </w:r>
    </w:p>
    <w:p>
      <w:pPr>
        <w:spacing w:before="0" w:after="60" w:line="312" w:lineRule="auto"/>
        <w:keepLines w:val="1"/>
      </w:pPr>
      <w:r>
        <w:rPr>
          <w:b w:val="0"/>
          <w:i w:val="0"/>
          <w:sz w:val="21"/>
        </w:rPr>
        <w:t>Slide 6   Test Two</w:t>
      </w:r>
    </w:p>
    <w:p>
      <w:pPr>
        <w:spacing w:before="0" w:after="60" w:line="312" w:lineRule="auto"/>
        <w:keepLines w:val="1"/>
      </w:pPr>
      <w:r>
        <w:rPr>
          <w:b w:val="0"/>
          <w:i w:val="0"/>
          <w:sz w:val="21"/>
        </w:rPr>
        <w:t>Slide 7   03 Read the Last 90 Days</w:t>
      </w:r>
    </w:p>
    <w:p>
      <w:pPr>
        <w:spacing w:before="0" w:after="60" w:line="312" w:lineRule="auto"/>
        <w:keepLines w:val="1"/>
      </w:pPr>
      <w:r>
        <w:rPr>
          <w:b w:val="0"/>
          <w:i w:val="0"/>
          <w:sz w:val="21"/>
        </w:rPr>
        <w:t>Slide 8   Test Three</w:t>
      </w:r>
    </w:p>
    <w:p>
      <w:pPr>
        <w:spacing w:before="0" w:after="60" w:line="312" w:lineRule="auto"/>
        <w:keepLines w:val="1"/>
      </w:pPr>
      <w:r>
        <w:rPr>
          <w:b w:val="0"/>
          <w:i w:val="0"/>
          <w:sz w:val="21"/>
        </w:rPr>
        <w:t>Slide 9   The Three Tests</w:t>
      </w:r>
    </w:p>
    <w:p>
      <w:pPr>
        <w:spacing w:before="0" w:after="60" w:line="312" w:lineRule="auto"/>
        <w:keepLines w:val="1"/>
      </w:pPr>
      <w:r>
        <w:rPr>
          <w:b w:val="0"/>
          <w:i w:val="0"/>
          <w:sz w:val="21"/>
        </w:rPr>
        <w:t>Slide 10  Read the Pattern</w:t>
      </w:r>
    </w:p>
    <w:p>
      <w:pPr>
        <w:spacing w:before="0" w:after="60" w:line="312" w:lineRule="auto"/>
        <w:keepLines w:val="1"/>
      </w:pPr>
      <w:r>
        <w:rPr>
          <w:b w:val="0"/>
          <w:i w:val="0"/>
          <w:sz w:val="21"/>
        </w:rPr>
        <w:t>Slide 11  Before You Leave</w:t>
      </w:r>
    </w:p>
    <w:p>
      <w:pPr>
        <w:spacing w:before="0" w:after="60" w:line="312" w:lineRule="auto"/>
        <w:keepLines w:val="1"/>
      </w:pPr>
      <w:r>
        <w:rPr>
          <w:b w:val="0"/>
          <w:i w:val="0"/>
          <w:sz w:val="21"/>
        </w:rPr>
        <w:t>Slide 12  Capability Formation Field Kit</w:t>
      </w:r>
    </w:p>
    <w:p>
      <w:pPr>
        <w:spacing w:before="0" w:after="60" w:line="312" w:lineRule="auto"/>
        <w:keepLines w:val="1"/>
      </w:pPr>
      <w:r>
        <w:rPr>
          <w:b w:val="0"/>
          <w:i w:val="0"/>
          <w:sz w:val="21"/>
        </w:rPr>
        <w:t>Slide 13  Watch Next</w:t>
      </w:r>
    </w:p>
    <w:p>
      <w:pPr>
        <w:spacing w:before="400" w:after="160" w:line="312" w:lineRule="auto"/>
        <w:keepLines w:val="1"/>
        <w:keepNext w:val="1"/>
      </w:pPr>
      <w:r>
        <w:rPr>
          <w:b/>
          <w:i w:val="0"/>
          <w:color w:val="0F2346"/>
          <w:sz w:val="28"/>
        </w:rPr>
        <w:t>Overlay principle</w:t>
      </w:r>
    </w:p>
    <w:p>
      <w:pPr>
        <w:spacing w:before="0" w:after="200" w:line="312" w:lineRule="auto"/>
      </w:pPr>
      <w:r>
        <w:rPr>
          <w:b w:val="0"/>
          <w:i w:val="0"/>
          <w:sz w:val="22"/>
        </w:rPr>
        <w:t>When a visual can prove information more efficiently than Temidayo speaking it, let the visual carry it. Do not duplicate every spoken sentence on screen. The first-30-second career-path visual is a deliberate example of this principle.</w:t>
      </w:r>
    </w:p>
    <w:p>
      <w:pPr>
        <w:spacing w:before="400" w:after="160" w:line="312" w:lineRule="auto"/>
        <w:keepLines w:val="1"/>
        <w:keepNext w:val="1"/>
      </w:pPr>
      <w:r>
        <w:rPr>
          <w:b/>
          <w:i w:val="0"/>
          <w:color w:val="0F2346"/>
          <w:sz w:val="28"/>
        </w:rPr>
        <w:t>CTA and watch next</w:t>
      </w:r>
    </w:p>
    <w:p>
      <w:pPr>
        <w:spacing w:before="0" w:after="100" w:line="312" w:lineRule="auto"/>
        <w:keepLines w:val="1"/>
      </w:pPr>
      <w:r>
        <w:rPr>
          <w:b w:val="0"/>
          <w:i w:val="0"/>
          <w:sz w:val="22"/>
        </w:rPr>
        <w:t>One product CTA only: Capability Formation Field Kit — https://temidayoafonja.com/fieldkit</w:t>
      </w:r>
    </w:p>
    <w:p>
      <w:pPr>
        <w:spacing w:before="0" w:after="160" w:line="312" w:lineRule="auto"/>
        <w:keepLines w:val="1"/>
      </w:pPr>
      <w:r>
        <w:rPr>
          <w:b/>
          <w:i w:val="0"/>
          <w:sz w:val="22"/>
        </w:rPr>
        <w:t>Do not add Keep the Proof.</w:t>
      </w:r>
    </w:p>
    <w:p>
      <w:pPr>
        <w:spacing w:before="0" w:after="120" w:line="312" w:lineRule="auto"/>
        <w:keepLines w:val="1"/>
      </w:pPr>
      <w:r>
        <w:rPr>
          <w:b w:val="0"/>
          <w:i w:val="0"/>
          <w:sz w:val="22"/>
        </w:rPr>
        <w:t>Watch next: route to 3 Things to Do Before Quitting Your Job.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