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“You can be doing well at work and still be narrowing your options.”</w:t>
      </w:r>
    </w:p>
    <w:p>
      <w:pPr>
        <w:spacing w:before="0" w:after="32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40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doing well at work and still be narrowing your options.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There are two questions I want experienced professionals to separate.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Am I valuable here?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And can someone somewhere else understand and use what I know how to do?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Those are not always the same.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You can be the person everyone relies on because you know the company, the relationships, the history and the workarounds.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That is real value.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But if most of it only makes sense inside that environment, your marketability may not be growing at the same rate.</w:t>
      </w:r>
    </w:p>
    <w:p>
      <w:pPr>
        <w:spacing w:before="0" w:after="240" w:line="360" w:lineRule="auto"/>
        <w:keepLines w:val="1"/>
      </w:pPr>
      <w:r>
        <w:rPr>
          <w:b w:val="0"/>
          <w:i w:val="0"/>
          <w:color w:val="1A1A1A"/>
          <w:sz w:val="27"/>
        </w:rPr>
        <w:t>In the full video, I give you three tests to check the difference.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