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9  ·  VIEWER EXERCISE</w:t>
      </w:r>
    </w:p>
    <w:p>
      <w:pPr>
        <w:spacing w:before="0" w:after="80"/>
      </w:pPr>
      <w:r>
        <w:rPr>
          <w:b/>
          <w:i w:val="0"/>
          <w:color w:val="112345"/>
          <w:sz w:val="42"/>
        </w:rPr>
        <w:t>Capability, Context, Credentials</w:t>
      </w:r>
    </w:p>
    <w:p>
      <w:pPr>
        <w:spacing w:before="0" w:after="280"/>
      </w:pPr>
      <w:r>
        <w:rPr>
          <w:b w:val="0"/>
          <w:i w:val="0"/>
          <w:color w:val="5A6B82"/>
          <w:sz w:val="20"/>
        </w:rPr>
        <w:t>How to Change Industries Without Starting Over</w:t>
      </w:r>
    </w:p>
    <w:p>
      <w:pPr>
        <w:spacing w:before="0" w:after="240"/>
        <w:pBdr>
          <w:bottom w:val="single" w:sz="6" w:color="8A6D1E"/>
        </w:pBdr>
      </w:pPr>
    </w:p>
    <w:p>
      <w:pPr>
        <w:spacing w:before="0" w:after="160"/>
      </w:pPr>
      <w:r>
        <w:rPr>
          <w:b w:val="0"/>
          <w:i w:val="0"/>
          <w:color w:val="112345"/>
          <w:sz w:val="22"/>
        </w:rPr>
        <w:t>One destination role. Not five industries at once. Twenty minutes.</w:t>
      </w:r>
    </w:p>
    <w:p>
      <w:pPr>
        <w:spacing w:before="200" w:after="200"/>
        <w:ind w:left="216"/>
        <w:pBdr>
          <w:left w:val="single" w:sz="18" w:color="9B2C10" w:space="8"/>
        </w:pBdr>
        <w:keepNext w:val="1"/>
        <w:keepLines w:val="1"/>
      </w:pPr>
      <w:r>
        <w:rPr>
          <w:b/>
          <w:color w:val="9B2C10"/>
          <w:sz w:val="21"/>
        </w:rPr>
        <w:t>A teaching companion for the video. Not a product, not a registration, and not a website page. Nothing here asks you to share sensitive workplace information with anyone.</w:t>
      </w:r>
    </w:p>
    <w:p>
      <w:pPr>
        <w:spacing w:before="280" w:after="80"/>
        <w:keepNext w:val="1"/>
        <w:keepLines w:val="1"/>
      </w:pPr>
      <w:r>
        <w:rPr>
          <w:b/>
          <w:i w:val="0"/>
          <w:color w:val="112345"/>
          <w:sz w:val="24"/>
        </w:rPr>
        <w:t>1. Name one destination</w:t>
      </w:r>
    </w:p>
    <w:p>
      <w:pPr>
        <w:spacing w:before="0" w:after="120"/>
      </w:pPr>
      <w:r>
        <w:rPr>
          <w:b w:val="0"/>
          <w:i w:val="0"/>
          <w:sz w:val="22"/>
        </w:rPr>
        <w:t>Choose a single role you are actually considering. Write the problem it needs someone to handle, in work language rather than in words like leadership or communication.</w:t>
      </w:r>
    </w:p>
    <w:p>
      <w:pPr>
        <w:spacing w:before="280" w:after="80"/>
        <w:keepNext w:val="1"/>
        <w:keepLines w:val="1"/>
      </w:pPr>
      <w:r>
        <w:rPr>
          <w:b/>
          <w:i w:val="0"/>
          <w:color w:val="112345"/>
          <w:sz w:val="24"/>
        </w:rPr>
        <w:t>2. Capability</w:t>
      </w:r>
    </w:p>
    <w:p>
      <w:pPr>
        <w:spacing w:before="0" w:after="120"/>
      </w:pPr>
      <w:r>
        <w:rPr>
          <w:b w:val="0"/>
          <w:i w:val="0"/>
          <w:sz w:val="22"/>
        </w:rPr>
        <w:t>Finish both halves: “This role needs someone to handle this problem. My evidence is this example.” If you cannot finish both, you have a question to investigate, not yet a transfer claim.</w:t>
      </w:r>
    </w:p>
    <w:p>
      <w:pPr>
        <w:spacing w:before="280" w:after="80"/>
        <w:keepNext w:val="1"/>
        <w:keepLines w:val="1"/>
      </w:pPr>
      <w:r>
        <w:rPr>
          <w:b/>
          <w:i w:val="0"/>
          <w:color w:val="112345"/>
          <w:sz w:val="24"/>
        </w:rPr>
        <w:t>3. Check the verb</w:t>
      </w:r>
    </w:p>
    <w:p>
      <w:pPr>
        <w:spacing w:before="0" w:after="120"/>
      </w:pPr>
      <w:r>
        <w:rPr>
          <w:b w:val="0"/>
          <w:i w:val="0"/>
          <w:sz w:val="22"/>
        </w:rPr>
        <w:t>If the same verb appears in your history and in the destination, compare the scale of the decision, the consequences of being wrong, and the support around it. The same word is not proof of the same work.</w:t>
      </w:r>
    </w:p>
    <w:p>
      <w:pPr>
        <w:spacing w:before="280" w:after="80"/>
        <w:keepNext w:val="1"/>
        <w:keepLines w:val="1"/>
      </w:pPr>
      <w:r>
        <w:rPr>
          <w:b/>
          <w:i w:val="0"/>
          <w:color w:val="112345"/>
          <w:sz w:val="24"/>
        </w:rPr>
        <w:t>4. Context</w:t>
      </w:r>
    </w:p>
    <w:p>
      <w:pPr>
        <w:spacing w:before="0" w:after="120"/>
      </w:pPr>
      <w:r>
        <w:rPr>
          <w:b w:val="0"/>
          <w:i w:val="0"/>
          <w:sz w:val="22"/>
        </w:rPr>
        <w:t>List what changes when the setting changes: customer or user, operating model, standards and approval routes, stakeholders, tools, relationships, consequences of error. Mark each one learnable through a bounded introduction, needing a longer period, or something the employer may insist you already have.</w:t>
      </w:r>
    </w:p>
    <w:p>
      <w:pPr>
        <w:spacing w:before="280" w:after="80"/>
        <w:keepNext w:val="1"/>
        <w:keepLines w:val="1"/>
      </w:pPr>
      <w:r>
        <w:rPr>
          <w:b/>
          <w:i w:val="0"/>
          <w:color w:val="112345"/>
          <w:sz w:val="24"/>
        </w:rPr>
        <w:t>5. Credentials</w:t>
      </w:r>
    </w:p>
    <w:p>
      <w:pPr>
        <w:spacing w:before="0" w:after="120"/>
      </w:pPr>
      <w:r>
        <w:rPr>
          <w:b w:val="0"/>
          <w:i w:val="0"/>
          <w:sz w:val="22"/>
        </w:rPr>
        <w:t>Sort every requirement into CONFIRMED, PREFERRED or STILL UNCLEAR. Check the original posting, the employer's explanation, and the appropriate authoritative source when a regulated qualification is involved.</w:t>
      </w:r>
    </w:p>
    <w:p>
      <w:pPr>
        <w:spacing w:before="280" w:after="80"/>
        <w:keepNext w:val="1"/>
        <w:keepLines w:val="1"/>
      </w:pPr>
      <w:r>
        <w:rPr>
          <w:b/>
          <w:i w:val="0"/>
          <w:color w:val="112345"/>
          <w:sz w:val="24"/>
        </w:rPr>
        <w:t>6. Make one move</w:t>
      </w:r>
    </w:p>
    <w:p>
      <w:pPr>
        <w:spacing w:before="0" w:after="120"/>
      </w:pPr>
      <w:r>
        <w:rPr>
          <w:b w:val="0"/>
          <w:i w:val="0"/>
          <w:sz w:val="22"/>
        </w:rPr>
        <w:t>Verify one requirement, ask someone in the field about a difficult decision in the role, or find the strongest example from your own work. One move, not a plan.</w:t>
      </w:r>
    </w:p>
    <w:p>
      <w:pPr>
        <w:spacing w:before="320" w:after="120"/>
        <w:keepNext w:val="1"/>
        <w:keepLines w:val="1"/>
      </w:pPr>
      <w:r>
        <w:rPr>
          <w:b/>
          <w:i w:val="0"/>
          <w:color w:val="112345"/>
          <w:sz w:val="26"/>
        </w:rPr>
        <w:t>THE BOUNDARY</w:t>
      </w:r>
    </w:p>
    <w:p>
      <w:pPr>
        <w:spacing w:before="0" w:after="160"/>
      </w:pPr>
      <w:r>
        <w:rPr>
          <w:b w:val="0"/>
          <w:i w:val="0"/>
          <w:color w:val="9B2C10"/>
          <w:sz w:val="22"/>
        </w:rPr>
        <w:t>A good explanation cannot erase bias, a weak market, a closed hiring rule, or a real experience gap. Do not assume a course substitutes for a license.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