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Facilitator and Delivery SOP — Free Lightning Lesson</w:t>
            </w:r>
          </w:p>
          <w:p>
            <w:r>
              <w:rPr>
                <w:i/>
                <w:color w:val="E3D9C4"/>
                <w:sz w:val="22"/>
              </w:rPr>
              <w:t>How to Tell If Your Career Is Stalling  ·  Wednesday, September 9, 2026  ·  v1.0 FINAL</w:t>
            </w:r>
          </w:p>
        </w:tc>
      </w:tr>
    </w:tbl>
    <w:p>
      <w:pPr>
        <w:spacing w:after="160"/>
      </w:pPr>
      <w:r>
        <w:rPr>
          <w:b/>
          <w:i w:val="0"/>
          <w:color w:val="B00000"/>
          <w:sz w:val="21"/>
        </w:rPr>
        <w:t>PRODUCTION STAMP — Prepared Friday, September 4, 2026 at 6:40 AM CT</w:t>
      </w:r>
    </w:p>
    <w:p>
      <w:pPr>
        <w:spacing w:after="160"/>
      </w:pPr>
      <w:r>
        <w:rPr>
          <w:b w:val="0"/>
          <w:i w:val="0"/>
          <w:color w:val="000000"/>
          <w:sz w:val="19"/>
        </w:rPr>
        <w:t>A NEW document, not a revision. It governs deck v3.5.0 FINAL and supersedes nothing: Facilitator Guide v3.2 belongs to a 15-slide, paid-workshop architecture that no longer exists and must not be used for this delivery. The run of show below is read out of the v3.5.0 speaker notes at build time, so it cannot drift from the deck. Where the deck and this SOP could ever disagree, the deck governs and this document is wrong.</w:t>
      </w:r>
    </w:p>
    <w:p>
      <w:pPr>
        <w:spacing w:before="320" w:after="160"/>
      </w:pPr>
      <w:r>
        <w:rPr>
          <w:b/>
          <w:color w:val="0F2347"/>
          <w:sz w:val="32"/>
        </w:rPr>
        <w:t>1. Event identity</w:t>
      </w:r>
    </w:p>
    <w:tbl>
      <w:tblPr>
        <w:tblW w:type="auto" w:w="0"/>
        <w:tblLayout w:type="fixed"/>
        <w:tblLook w:firstColumn="1" w:firstRow="1" w:lastColumn="0" w:lastRow="0" w:noHBand="0" w:noVBand="1" w:val="04A0"/>
      </w:tblPr>
      <w:tblGrid>
        <w:gridCol w:w="2304"/>
        <w:gridCol w:w="7776"/>
      </w:tblGrid>
      <w:tr>
        <w:trPr>
          <w:tblHeader w:val="true"/>
          <w:cantSplit w:val="true"/>
        </w:trPr>
        <w:tc>
          <w:tcPr>
            <w:tcW w:type="dxa" w:w="2304"/>
            <w:shd w:val="clear" w:fill="0F2347"/>
          </w:tcPr>
          <w:p>
            <w:r>
              <w:rPr>
                <w:b/>
                <w:color w:val="FFFFFF"/>
                <w:sz w:val="19"/>
              </w:rPr>
              <w:t>Field</w:t>
            </w:r>
          </w:p>
        </w:tc>
        <w:tc>
          <w:tcPr>
            <w:tcW w:type="dxa" w:w="7776"/>
            <w:shd w:val="clear" w:fill="0F2347"/>
          </w:tcPr>
          <w:p>
            <w:r>
              <w:rPr>
                <w:b/>
                <w:color w:val="FFFFFF"/>
                <w:sz w:val="19"/>
              </w:rPr>
              <w:t>Value</w:t>
            </w:r>
          </w:p>
        </w:tc>
      </w:tr>
      <w:tr>
        <w:trPr>
          <w:cantSplit w:val="true"/>
        </w:trPr>
        <w:tc>
          <w:tcPr>
            <w:tcW w:type="dxa" w:w="2304"/>
          </w:tcPr>
          <w:p>
            <w:r>
              <w:rPr>
                <w:b/>
                <w:sz w:val="19"/>
              </w:rPr>
              <w:t>Title</w:t>
            </w:r>
          </w:p>
        </w:tc>
        <w:tc>
          <w:tcPr>
            <w:tcW w:type="dxa" w:w="7776"/>
          </w:tcPr>
          <w:p>
            <w:r>
              <w:rPr>
                <w:sz w:val="19"/>
              </w:rPr>
              <w:t>How to Tell If Your Career Is Stalling</w:t>
            </w:r>
          </w:p>
        </w:tc>
      </w:tr>
      <w:tr>
        <w:trPr>
          <w:cantSplit w:val="true"/>
        </w:trPr>
        <w:tc>
          <w:tcPr>
            <w:tcW w:type="dxa" w:w="2304"/>
          </w:tcPr>
          <w:p>
            <w:r>
              <w:rPr>
                <w:b/>
                <w:sz w:val="19"/>
              </w:rPr>
              <w:t>Subtitle, as on the deck</w:t>
            </w:r>
          </w:p>
        </w:tc>
        <w:tc>
          <w:tcPr>
            <w:tcW w:type="dxa" w:w="7776"/>
          </w:tcPr>
          <w:p>
            <w:r>
              <w:rPr>
                <w:sz w:val="19"/>
              </w:rPr>
              <w:t>Three signs your role may have stopped building your skills and future options, even while you are performing well.</w:t>
            </w:r>
          </w:p>
        </w:tc>
      </w:tr>
      <w:tr>
        <w:trPr>
          <w:cantSplit w:val="true"/>
        </w:trPr>
        <w:tc>
          <w:tcPr>
            <w:tcW w:type="dxa" w:w="2304"/>
          </w:tcPr>
          <w:p>
            <w:r>
              <w:rPr>
                <w:b/>
                <w:sz w:val="19"/>
              </w:rPr>
              <w:t>Format</w:t>
            </w:r>
          </w:p>
        </w:tc>
        <w:tc>
          <w:tcPr>
            <w:tcW w:type="dxa" w:w="7776"/>
          </w:tcPr>
          <w:p>
            <w:r>
              <w:rPr>
                <w:sz w:val="19"/>
              </w:rPr>
              <w:t>Free Maven Lightning Lesson. Never “Lightning Course.”</w:t>
            </w:r>
          </w:p>
        </w:tc>
      </w:tr>
      <w:tr>
        <w:trPr>
          <w:cantSplit w:val="true"/>
        </w:trPr>
        <w:tc>
          <w:tcPr>
            <w:tcW w:type="dxa" w:w="2304"/>
          </w:tcPr>
          <w:p>
            <w:r>
              <w:rPr>
                <w:b/>
                <w:sz w:val="19"/>
              </w:rPr>
              <w:t>Date</w:t>
            </w:r>
          </w:p>
        </w:tc>
        <w:tc>
          <w:tcPr>
            <w:tcW w:type="dxa" w:w="7776"/>
          </w:tcPr>
          <w:p>
            <w:r>
              <w:rPr>
                <w:sz w:val="19"/>
              </w:rPr>
              <w:t>Wednesday, September 9, 2026</w:t>
            </w:r>
          </w:p>
        </w:tc>
      </w:tr>
      <w:tr>
        <w:trPr>
          <w:cantSplit w:val="true"/>
        </w:trPr>
        <w:tc>
          <w:tcPr>
            <w:tcW w:type="dxa" w:w="2304"/>
          </w:tcPr>
          <w:p>
            <w:r>
              <w:rPr>
                <w:b/>
                <w:sz w:val="19"/>
              </w:rPr>
              <w:t>Time</w:t>
            </w:r>
          </w:p>
        </w:tc>
        <w:tc>
          <w:tcPr>
            <w:tcW w:type="dxa" w:w="7776"/>
          </w:tcPr>
          <w:p>
            <w:r>
              <w:rPr>
                <w:sz w:val="19"/>
              </w:rPr>
              <w:t>6:00 PM Central Time / America/Chicago. Use CT or Central Time. Never write CST.</w:t>
            </w:r>
          </w:p>
        </w:tc>
      </w:tr>
      <w:tr>
        <w:trPr>
          <w:cantSplit w:val="true"/>
        </w:trPr>
        <w:tc>
          <w:tcPr>
            <w:tcW w:type="dxa" w:w="2304"/>
          </w:tcPr>
          <w:p>
            <w:r>
              <w:rPr>
                <w:b/>
                <w:sz w:val="19"/>
              </w:rPr>
              <w:t>Duration</w:t>
            </w:r>
          </w:p>
        </w:tc>
        <w:tc>
          <w:tcPr>
            <w:tcW w:type="dxa" w:w="7776"/>
          </w:tcPr>
          <w:p>
            <w:r>
              <w:rPr>
                <w:sz w:val="19"/>
              </w:rPr>
              <w:t>45 minutes total, hard stop. 35 minutes teaching and recognition work, then 10 minutes of questions.</w:t>
            </w:r>
          </w:p>
        </w:tc>
      </w:tr>
      <w:tr>
        <w:trPr>
          <w:cantSplit w:val="true"/>
        </w:trPr>
        <w:tc>
          <w:tcPr>
            <w:tcW w:type="dxa" w:w="2304"/>
          </w:tcPr>
          <w:p>
            <w:r>
              <w:rPr>
                <w:b/>
                <w:sz w:val="19"/>
              </w:rPr>
              <w:t>Price</w:t>
            </w:r>
          </w:p>
        </w:tc>
        <w:tc>
          <w:tcPr>
            <w:tcW w:type="dxa" w:w="7776"/>
          </w:tcPr>
          <w:p>
            <w:r>
              <w:rPr>
                <w:sz w:val="19"/>
              </w:rPr>
              <w:t>Free.</w:t>
            </w:r>
          </w:p>
        </w:tc>
      </w:tr>
      <w:tr>
        <w:trPr>
          <w:cantSplit w:val="true"/>
        </w:trPr>
        <w:tc>
          <w:tcPr>
            <w:tcW w:type="dxa" w:w="2304"/>
          </w:tcPr>
          <w:p>
            <w:r>
              <w:rPr>
                <w:b/>
                <w:sz w:val="19"/>
              </w:rPr>
              <w:t>Audience</w:t>
            </w:r>
          </w:p>
        </w:tc>
        <w:tc>
          <w:tcPr>
            <w:tcW w:type="dxa" w:w="7776"/>
          </w:tcPr>
          <w:p>
            <w:r>
              <w:rPr>
                <w:sz w:val="19"/>
              </w:rPr>
              <w:t>Experienced professionals reading their own position — the room the slide 5 framing is written for. Not entry-level career coaching.</w:t>
            </w:r>
          </w:p>
        </w:tc>
      </w:tr>
      <w:tr>
        <w:trPr>
          <w:cantSplit w:val="true"/>
        </w:trPr>
        <w:tc>
          <w:tcPr>
            <w:tcW w:type="dxa" w:w="2304"/>
          </w:tcPr>
          <w:p>
            <w:r>
              <w:rPr>
                <w:b/>
                <w:sz w:val="19"/>
              </w:rPr>
              <w:t>What it does</w:t>
            </w:r>
          </w:p>
        </w:tc>
        <w:tc>
          <w:tcPr>
            <w:tcW w:type="dxa" w:w="7776"/>
          </w:tcPr>
          <w:p>
            <w:r>
              <w:rPr>
                <w:sz w:val="19"/>
              </w:rPr>
              <w:t>Helps a participant recognise which of three career-stall patterns may deserve attention, test it against one example from the last 90 days, and name the next question to investigate.</w:t>
            </w:r>
          </w:p>
        </w:tc>
      </w:tr>
      <w:tr>
        <w:trPr>
          <w:cantSplit w:val="true"/>
        </w:trPr>
        <w:tc>
          <w:tcPr>
            <w:tcW w:type="dxa" w:w="2304"/>
          </w:tcPr>
          <w:p>
            <w:r>
              <w:rPr>
                <w:b/>
                <w:sz w:val="19"/>
              </w:rPr>
              <w:t>What it does NOT do</w:t>
            </w:r>
          </w:p>
        </w:tc>
        <w:tc>
          <w:tcPr>
            <w:tcW w:type="dxa" w:w="7776"/>
          </w:tcPr>
          <w:p>
            <w:r>
              <w:rPr>
                <w:sz w:val="19"/>
              </w:rPr>
              <w:t>It does not tell anyone whether to stay or leave, place anyone in a Career State, or make a personalized employment decision. It is recognition, not a diagnostic, and it is not the Capability Position Read.</w:t>
            </w:r>
          </w:p>
        </w:tc>
      </w:tr>
      <w:tr>
        <w:trPr>
          <w:cantSplit w:val="true"/>
        </w:trPr>
        <w:tc>
          <w:tcPr>
            <w:tcW w:type="dxa" w:w="2304"/>
          </w:tcPr>
          <w:p>
            <w:r>
              <w:rPr>
                <w:b/>
                <w:sz w:val="19"/>
              </w:rPr>
              <w:t>The three signs — fixed</w:t>
            </w:r>
          </w:p>
        </w:tc>
        <w:tc>
          <w:tcPr>
            <w:tcW w:type="dxa" w:w="7776"/>
          </w:tcPr>
          <w:p>
            <w:r>
              <w:rPr>
                <w:sz w:val="19"/>
              </w:rPr>
              <w:t>1. You are repeating, not stretching.  2. You are indispensable, but mainly here.  3. Your responsibility is growing faster than your capability.</w:t>
            </w:r>
          </w:p>
        </w:tc>
      </w:tr>
      <w:tr>
        <w:trPr>
          <w:cantSplit w:val="true"/>
        </w:trPr>
        <w:tc>
          <w:tcPr>
            <w:tcW w:type="dxa" w:w="2304"/>
          </w:tcPr>
          <w:p>
            <w:r>
              <w:rPr>
                <w:b/>
                <w:sz w:val="19"/>
              </w:rPr>
              <w:t>Continuation routes</w:t>
            </w:r>
          </w:p>
        </w:tc>
        <w:tc>
          <w:tcPr>
            <w:tcW w:type="dxa" w:w="7776"/>
          </w:tcPr>
          <w:p>
            <w:r>
              <w:rPr>
                <w:sz w:val="19"/>
              </w:rPr>
              <w:t>Primary: the free Stay or Leave? — Live Career Growth Assessment on Wednesday, September 23, 2026. Secondary and private: the Capability Formation Field Kit, $150, subject to verification immediately before delivery.</w:t>
            </w:r>
          </w:p>
        </w:tc>
      </w:tr>
    </w:tbl>
    <w:p>
      <w:pPr>
        <w:spacing w:before="320" w:after="160"/>
      </w:pPr>
      <w:r>
        <w:rPr>
          <w:b/>
          <w:color w:val="0F2347"/>
          <w:sz w:val="32"/>
        </w:rPr>
        <w:t>2. Locked run of show</w:t>
      </w:r>
    </w:p>
    <w:p>
      <w:pPr>
        <w:spacing w:after="160"/>
      </w:pPr>
      <w:r>
        <w:rPr>
          <w:b w:val="0"/>
          <w:i w:val="0"/>
          <w:color w:val="000000"/>
          <w:sz w:val="19"/>
        </w:rPr>
        <w:t>Taken from the v3.5.0 speaker notes. Fifteen live slides run 0:00 to 45:00 with no gap or overlap at any hand-off. Slide 16 is hidden and is not part of the session. Do not shorten a block to recover time — the two protected blocks are the five-minute writing period at 24:00–29:00 and the ten-minute Q&amp;A from 35:00. If you are running late, tighten slides 5, 6 and 12 in delivery; never the writing block and never the Q&amp;A.</w:t>
      </w:r>
    </w:p>
    <w:tbl>
      <w:tblPr>
        <w:tblStyle w:val="LightGrid-Accent1"/>
        <w:tblW w:type="auto" w:w="0"/>
        <w:tblLayout w:type="fixed"/>
        <w:tblLook w:firstColumn="1" w:firstRow="1" w:lastColumn="0" w:lastRow="0" w:noHBand="0" w:noVBand="1" w:val="04A0"/>
      </w:tblPr>
      <w:tblGrid>
        <w:gridCol w:w="1224"/>
        <w:gridCol w:w="792"/>
        <w:gridCol w:w="2808"/>
        <w:gridCol w:w="5256"/>
      </w:tblGrid>
      <w:tr>
        <w:trPr>
          <w:tblHeader w:val="true"/>
          <w:cantSplit w:val="true"/>
        </w:trPr>
        <w:tc>
          <w:tcPr>
            <w:tcW w:type="dxa" w:w="1224"/>
            <w:shd w:val="clear" w:fill="0F2347"/>
          </w:tcPr>
          <w:p>
            <w:r>
              <w:rPr>
                <w:b/>
                <w:color w:val="FFFFFF"/>
                <w:sz w:val="18"/>
              </w:rPr>
              <w:t>Time</w:t>
            </w:r>
          </w:p>
        </w:tc>
        <w:tc>
          <w:tcPr>
            <w:tcW w:type="dxa" w:w="792"/>
            <w:shd w:val="clear" w:fill="0F2347"/>
          </w:tcPr>
          <w:p>
            <w:r>
              <w:rPr>
                <w:b/>
                <w:color w:val="FFFFFF"/>
                <w:sz w:val="18"/>
              </w:rPr>
              <w:t>Slide</w:t>
            </w:r>
          </w:p>
        </w:tc>
        <w:tc>
          <w:tcPr>
            <w:tcW w:type="dxa" w:w="2808"/>
            <w:shd w:val="clear" w:fill="0F2347"/>
          </w:tcPr>
          <w:p>
            <w:r>
              <w:rPr>
                <w:b/>
                <w:color w:val="FFFFFF"/>
                <w:sz w:val="18"/>
              </w:rPr>
              <w:t>Block</w:t>
            </w:r>
          </w:p>
        </w:tc>
        <w:tc>
          <w:tcPr>
            <w:tcW w:type="dxa" w:w="5256"/>
            <w:shd w:val="clear" w:fill="0F2347"/>
          </w:tcPr>
          <w:p>
            <w:r>
              <w:rPr>
                <w:b/>
                <w:color w:val="FFFFFF"/>
                <w:sz w:val="18"/>
              </w:rPr>
              <w:t>Facilitator action</w:t>
            </w:r>
          </w:p>
        </w:tc>
      </w:tr>
      <w:tr>
        <w:trPr>
          <w:cantSplit w:val="true"/>
        </w:trPr>
        <w:tc>
          <w:tcPr>
            <w:tcW w:type="dxa" w:w="1224"/>
          </w:tcPr>
          <w:p>
            <w:r>
              <w:rPr>
                <w:sz w:val="18"/>
              </w:rPr>
              <w:t>0:00–1:00</w:t>
            </w:r>
          </w:p>
        </w:tc>
        <w:tc>
          <w:tcPr>
            <w:tcW w:type="dxa" w:w="792"/>
          </w:tcPr>
          <w:p>
            <w:r>
              <w:rPr>
                <w:sz w:val="18"/>
              </w:rPr>
              <w:t>1</w:t>
            </w:r>
          </w:p>
        </w:tc>
        <w:tc>
          <w:tcPr>
            <w:tcW w:type="dxa" w:w="2808"/>
            <w:shd w:val="clear" w:fill="D9EAD3"/>
          </w:tcPr>
          <w:p>
            <w:r>
              <w:rPr>
                <w:b w:val="0"/>
                <w:color w:val="000000"/>
                <w:sz w:val="18"/>
              </w:rPr>
              <w:t>FREE LIGHTNING LESSON   ·   45 MINUTES — How to Tell If Your Career Is Stalling</w:t>
            </w:r>
          </w:p>
        </w:tc>
        <w:tc>
          <w:tcPr>
            <w:tcW w:type="dxa" w:w="5256"/>
          </w:tcPr>
          <w:p>
            <w:r>
              <w:rPr>
                <w:sz w:val="17"/>
              </w:rPr>
              <w:t>Open. Name the session as a 45-minute recognition lesson, not a diagnostic. No pricing, no framework yet.</w:t>
            </w:r>
          </w:p>
        </w:tc>
      </w:tr>
      <w:tr>
        <w:trPr>
          <w:cantSplit w:val="true"/>
        </w:trPr>
        <w:tc>
          <w:tcPr>
            <w:tcW w:type="dxa" w:w="1224"/>
          </w:tcPr>
          <w:p>
            <w:r>
              <w:rPr>
                <w:sz w:val="18"/>
              </w:rPr>
              <w:t>1:00–3:00</w:t>
            </w:r>
          </w:p>
        </w:tc>
        <w:tc>
          <w:tcPr>
            <w:tcW w:type="dxa" w:w="792"/>
          </w:tcPr>
          <w:p>
            <w:r>
              <w:rPr>
                <w:sz w:val="18"/>
              </w:rPr>
              <w:t>2</w:t>
            </w:r>
          </w:p>
        </w:tc>
        <w:tc>
          <w:tcPr>
            <w:tcW w:type="dxa" w:w="2808"/>
            <w:shd w:val="clear" w:fill="D9EAD3"/>
          </w:tcPr>
          <w:p>
            <w:r>
              <w:rPr>
                <w:b w:val="0"/>
                <w:color w:val="000000"/>
                <w:sz w:val="18"/>
              </w:rPr>
              <w:t>WELCOME — Why I Built This Lesson</w:t>
            </w:r>
          </w:p>
        </w:tc>
        <w:tc>
          <w:tcPr>
            <w:tcW w:type="dxa" w:w="5256"/>
          </w:tcPr>
          <w:p>
            <w:r>
              <w:rPr>
                <w:sz w:val="17"/>
              </w:rPr>
              <w:t>Two sentences of biography, then the question. The audit-to-privacy worked example is optional; use it only if it lands naturally.</w:t>
            </w:r>
          </w:p>
        </w:tc>
      </w:tr>
      <w:tr>
        <w:trPr>
          <w:cantSplit w:val="true"/>
        </w:trPr>
        <w:tc>
          <w:tcPr>
            <w:tcW w:type="dxa" w:w="1224"/>
          </w:tcPr>
          <w:p>
            <w:r>
              <w:rPr>
                <w:sz w:val="18"/>
              </w:rPr>
              <w:t>3:00–4:30</w:t>
            </w:r>
          </w:p>
        </w:tc>
        <w:tc>
          <w:tcPr>
            <w:tcW w:type="dxa" w:w="792"/>
          </w:tcPr>
          <w:p>
            <w:r>
              <w:rPr>
                <w:sz w:val="18"/>
              </w:rPr>
              <w:t>3</w:t>
            </w:r>
          </w:p>
        </w:tc>
        <w:tc>
          <w:tcPr>
            <w:tcW w:type="dxa" w:w="2808"/>
            <w:shd w:val="clear" w:fill="D9EAD3"/>
          </w:tcPr>
          <w:p>
            <w:r>
              <w:rPr>
                <w:b w:val="0"/>
                <w:color w:val="000000"/>
                <w:sz w:val="18"/>
              </w:rPr>
              <w:t>WHAT YOU’LL LEAVE WITH — What Today Will Help You Do</w:t>
            </w:r>
          </w:p>
        </w:tc>
        <w:tc>
          <w:tcPr>
            <w:tcW w:type="dxa" w:w="5256"/>
          </w:tcPr>
          <w:p>
            <w:r>
              <w:rPr>
                <w:sz w:val="17"/>
              </w:rPr>
              <w:t>Name the three outcomes, then read the TODAY WILL NOT panel aloud once. Setting the limit here is what lets the rest of the session stay specific.</w:t>
            </w:r>
          </w:p>
        </w:tc>
      </w:tr>
      <w:tr>
        <w:trPr>
          <w:cantSplit w:val="true"/>
        </w:trPr>
        <w:tc>
          <w:tcPr>
            <w:tcW w:type="dxa" w:w="1224"/>
          </w:tcPr>
          <w:p>
            <w:r>
              <w:rPr>
                <w:sz w:val="18"/>
              </w:rPr>
              <w:t>4:30–6:00</w:t>
            </w:r>
          </w:p>
        </w:tc>
        <w:tc>
          <w:tcPr>
            <w:tcW w:type="dxa" w:w="792"/>
          </w:tcPr>
          <w:p>
            <w:r>
              <w:rPr>
                <w:sz w:val="18"/>
              </w:rPr>
              <w:t>4</w:t>
            </w:r>
          </w:p>
        </w:tc>
        <w:tc>
          <w:tcPr>
            <w:tcW w:type="dxa" w:w="2808"/>
            <w:shd w:val="clear" w:fill="D9EAD3"/>
          </w:tcPr>
          <w:p>
            <w:r>
              <w:rPr>
                <w:b w:val="0"/>
                <w:color w:val="000000"/>
                <w:sz w:val="18"/>
              </w:rPr>
              <w:t>OPENING POLL — What brought you here today?</w:t>
            </w:r>
          </w:p>
        </w:tc>
        <w:tc>
          <w:tcPr>
            <w:tcW w:type="dxa" w:w="5256"/>
          </w:tcPr>
          <w:p>
            <w:r>
              <w:rPr>
                <w:sz w:val="17"/>
              </w:rPr>
              <w:t>Poll in chat or the platform widget. Ask for the nearest reason, not an explanation. Do not analyse individual answers aloud.</w:t>
            </w:r>
          </w:p>
        </w:tc>
      </w:tr>
      <w:tr>
        <w:trPr>
          <w:cantSplit w:val="true"/>
        </w:trPr>
        <w:tc>
          <w:tcPr>
            <w:tcW w:type="dxa" w:w="1224"/>
          </w:tcPr>
          <w:p>
            <w:r>
              <w:rPr>
                <w:sz w:val="18"/>
              </w:rPr>
              <w:t>6:00–7:30</w:t>
            </w:r>
          </w:p>
        </w:tc>
        <w:tc>
          <w:tcPr>
            <w:tcW w:type="dxa" w:w="792"/>
          </w:tcPr>
          <w:p>
            <w:r>
              <w:rPr>
                <w:sz w:val="18"/>
              </w:rPr>
              <w:t>5</w:t>
            </w:r>
          </w:p>
        </w:tc>
        <w:tc>
          <w:tcPr>
            <w:tcW w:type="dxa" w:w="2808"/>
            <w:shd w:val="clear" w:fill="D9EAD3"/>
          </w:tcPr>
          <w:p>
            <w:r>
              <w:rPr>
                <w:b w:val="0"/>
                <w:color w:val="000000"/>
                <w:sz w:val="18"/>
              </w:rPr>
              <w:t>THE CENTRAL INSIGHT — A Role Can Reward You Long After It Stops Building You</w:t>
            </w:r>
          </w:p>
        </w:tc>
        <w:tc>
          <w:tcPr>
            <w:tcW w:type="dxa" w:w="5256"/>
          </w:tcPr>
          <w:p>
            <w:r>
              <w:rPr>
                <w:sz w:val="17"/>
              </w:rPr>
              <w:t>The central line of the lesson. Read the four bullets, then let “Performance matters. It is not the whole picture.” land. Say the who-this-is-for framing once, without naming anyone.</w:t>
            </w:r>
          </w:p>
        </w:tc>
      </w:tr>
      <w:tr>
        <w:trPr>
          <w:cantSplit w:val="true"/>
        </w:trPr>
        <w:tc>
          <w:tcPr>
            <w:tcW w:type="dxa" w:w="1224"/>
          </w:tcPr>
          <w:p>
            <w:r>
              <w:rPr>
                <w:sz w:val="18"/>
              </w:rPr>
              <w:t>7:30–9:00</w:t>
            </w:r>
          </w:p>
        </w:tc>
        <w:tc>
          <w:tcPr>
            <w:tcW w:type="dxa" w:w="792"/>
          </w:tcPr>
          <w:p>
            <w:r>
              <w:rPr>
                <w:sz w:val="18"/>
              </w:rPr>
              <w:t>6</w:t>
            </w:r>
          </w:p>
        </w:tc>
        <w:tc>
          <w:tcPr>
            <w:tcW w:type="dxa" w:w="2808"/>
            <w:shd w:val="clear" w:fill="D9EAD3"/>
          </w:tcPr>
          <w:p>
            <w:r>
              <w:rPr>
                <w:b w:val="0"/>
                <w:color w:val="000000"/>
                <w:sz w:val="18"/>
              </w:rPr>
              <w:t>CAREER PORTABILITY — A pivot does not mean everything transfers.</w:t>
            </w:r>
          </w:p>
        </w:tc>
        <w:tc>
          <w:tcPr>
            <w:tcW w:type="dxa" w:w="5256"/>
          </w:tcPr>
          <w:p>
            <w:r>
              <w:rPr>
                <w:sz w:val="17"/>
              </w:rPr>
              <w:t>Ninety seconds. Positioning beat, not a module. Two or three items per column, not all thirteen. Land the closing line deliberately.</w:t>
            </w:r>
          </w:p>
        </w:tc>
      </w:tr>
      <w:tr>
        <w:trPr>
          <w:cantSplit w:val="true"/>
        </w:trPr>
        <w:tc>
          <w:tcPr>
            <w:tcW w:type="dxa" w:w="1224"/>
          </w:tcPr>
          <w:p>
            <w:r>
              <w:rPr>
                <w:sz w:val="18"/>
              </w:rPr>
              <w:t>9:00–14:00</w:t>
            </w:r>
          </w:p>
        </w:tc>
        <w:tc>
          <w:tcPr>
            <w:tcW w:type="dxa" w:w="792"/>
          </w:tcPr>
          <w:p>
            <w:r>
              <w:rPr>
                <w:sz w:val="18"/>
              </w:rPr>
              <w:t>7</w:t>
            </w:r>
          </w:p>
        </w:tc>
        <w:tc>
          <w:tcPr>
            <w:tcW w:type="dxa" w:w="2808"/>
            <w:shd w:val="clear" w:fill="D9EAD3"/>
          </w:tcPr>
          <w:p>
            <w:r>
              <w:rPr>
                <w:b w:val="0"/>
                <w:color w:val="000000"/>
                <w:sz w:val="18"/>
              </w:rPr>
              <w:t>SIGN 1 — You Are Repeating, Not Stretching</w:t>
            </w:r>
          </w:p>
        </w:tc>
        <w:tc>
          <w:tcPr>
            <w:tcW w:type="dxa" w:w="5256"/>
          </w:tcPr>
          <w:p>
            <w:r>
              <w:rPr>
                <w:sz w:val="17"/>
              </w:rPr>
              <w:t>SIGN 1. Separate delivery from formation. Read the test question slowly, then 30–45 seconds for the quick check.</w:t>
            </w:r>
          </w:p>
        </w:tc>
      </w:tr>
      <w:tr>
        <w:trPr>
          <w:cantSplit w:val="true"/>
        </w:trPr>
        <w:tc>
          <w:tcPr>
            <w:tcW w:type="dxa" w:w="1224"/>
          </w:tcPr>
          <w:p>
            <w:r>
              <w:rPr>
                <w:sz w:val="18"/>
              </w:rPr>
              <w:t>14:00–19:00</w:t>
            </w:r>
          </w:p>
        </w:tc>
        <w:tc>
          <w:tcPr>
            <w:tcW w:type="dxa" w:w="792"/>
          </w:tcPr>
          <w:p>
            <w:r>
              <w:rPr>
                <w:sz w:val="18"/>
              </w:rPr>
              <w:t>8</w:t>
            </w:r>
          </w:p>
        </w:tc>
        <w:tc>
          <w:tcPr>
            <w:tcW w:type="dxa" w:w="2808"/>
            <w:shd w:val="clear" w:fill="D9EAD3"/>
          </w:tcPr>
          <w:p>
            <w:r>
              <w:rPr>
                <w:b w:val="0"/>
                <w:color w:val="000000"/>
                <w:sz w:val="18"/>
              </w:rPr>
              <w:t>SIGN 2 — You Are Indispensable, but Mainly Here</w:t>
            </w:r>
          </w:p>
        </w:tc>
        <w:tc>
          <w:tcPr>
            <w:tcW w:type="dxa" w:w="5256"/>
          </w:tcPr>
          <w:p>
            <w:r>
              <w:rPr>
                <w:sz w:val="17"/>
              </w:rPr>
              <w:t>SIGN 2. Read the test question, then the follow-up about whether an outsider would have enough evidence to trust the experience. 30–45 seconds.</w:t>
            </w:r>
          </w:p>
        </w:tc>
      </w:tr>
      <w:tr>
        <w:trPr>
          <w:cantSplit w:val="true"/>
        </w:trPr>
        <w:tc>
          <w:tcPr>
            <w:tcW w:type="dxa" w:w="1224"/>
          </w:tcPr>
          <w:p>
            <w:r>
              <w:rPr>
                <w:sz w:val="18"/>
              </w:rPr>
              <w:t>19:00–24:00</w:t>
            </w:r>
          </w:p>
        </w:tc>
        <w:tc>
          <w:tcPr>
            <w:tcW w:type="dxa" w:w="792"/>
          </w:tcPr>
          <w:p>
            <w:r>
              <w:rPr>
                <w:sz w:val="18"/>
              </w:rPr>
              <w:t>9</w:t>
            </w:r>
          </w:p>
        </w:tc>
        <w:tc>
          <w:tcPr>
            <w:tcW w:type="dxa" w:w="2808"/>
            <w:shd w:val="clear" w:fill="D9EAD3"/>
          </w:tcPr>
          <w:p>
            <w:r>
              <w:rPr>
                <w:b w:val="0"/>
                <w:color w:val="000000"/>
                <w:sz w:val="18"/>
              </w:rPr>
              <w:t>SIGN 3 — Your Responsibility Is Growing Faster Than Your Capability</w:t>
            </w:r>
          </w:p>
        </w:tc>
        <w:tc>
          <w:tcPr>
            <w:tcW w:type="dxa" w:w="5256"/>
          </w:tcPr>
          <w:p>
            <w:r>
              <w:rPr>
                <w:sz w:val="17"/>
              </w:rPr>
              <w:t>SIGN 3. Read the work, not the title. 30–45 seconds for the quick check after the test question.</w:t>
            </w:r>
          </w:p>
        </w:tc>
      </w:tr>
      <w:tr>
        <w:trPr>
          <w:cantSplit w:val="true"/>
        </w:trPr>
        <w:tc>
          <w:tcPr>
            <w:tcW w:type="dxa" w:w="1224"/>
          </w:tcPr>
          <w:p>
            <w:r>
              <w:rPr>
                <w:sz w:val="18"/>
              </w:rPr>
              <w:t>24:00–29:00</w:t>
            </w:r>
          </w:p>
        </w:tc>
        <w:tc>
          <w:tcPr>
            <w:tcW w:type="dxa" w:w="792"/>
          </w:tcPr>
          <w:p>
            <w:r>
              <w:rPr>
                <w:sz w:val="18"/>
              </w:rPr>
              <w:t>10</w:t>
            </w:r>
          </w:p>
        </w:tc>
        <w:tc>
          <w:tcPr>
            <w:tcW w:type="dxa" w:w="2808"/>
            <w:shd w:val="clear" w:fill="D9EAD3"/>
          </w:tcPr>
          <w:p>
            <w:r>
              <w:rPr>
                <w:b w:val="0"/>
                <w:color w:val="000000"/>
                <w:sz w:val="18"/>
              </w:rPr>
              <w:t>CAREER STALL CHECK — Five quiet minutes.</w:t>
            </w:r>
          </w:p>
        </w:tc>
        <w:tc>
          <w:tcPr>
            <w:tcW w:type="dxa" w:w="5256"/>
          </w:tcPr>
          <w:p>
            <w:r>
              <w:rPr>
                <w:sz w:val="17"/>
              </w:rPr>
              <w:t>FIVE QUIET MINUTES — protected. Give the instruction once, then stay quiet. No one is called on, nothing is collected, nothing is scored.</w:t>
            </w:r>
          </w:p>
        </w:tc>
      </w:tr>
      <w:tr>
        <w:trPr>
          <w:cantSplit w:val="true"/>
        </w:trPr>
        <w:tc>
          <w:tcPr>
            <w:tcW w:type="dxa" w:w="1224"/>
          </w:tcPr>
          <w:p>
            <w:r>
              <w:rPr>
                <w:sz w:val="18"/>
              </w:rPr>
              <w:t>29:00–31:30</w:t>
            </w:r>
          </w:p>
        </w:tc>
        <w:tc>
          <w:tcPr>
            <w:tcW w:type="dxa" w:w="792"/>
          </w:tcPr>
          <w:p>
            <w:r>
              <w:rPr>
                <w:sz w:val="18"/>
              </w:rPr>
              <w:t>11</w:t>
            </w:r>
          </w:p>
        </w:tc>
        <w:tc>
          <w:tcPr>
            <w:tcW w:type="dxa" w:w="2808"/>
            <w:shd w:val="clear" w:fill="D9EAD3"/>
          </w:tcPr>
          <w:p>
            <w:r>
              <w:rPr>
                <w:b w:val="0"/>
                <w:color w:val="000000"/>
                <w:sz w:val="18"/>
              </w:rPr>
              <w:t>INTERPRET WITHOUT DIAGNOSING — A recognition exercise is not a result.</w:t>
            </w:r>
          </w:p>
        </w:tc>
        <w:tc>
          <w:tcPr>
            <w:tcW w:type="dxa" w:w="5256"/>
          </w:tcPr>
          <w:p>
            <w:r>
              <w:rPr>
                <w:sz w:val="17"/>
              </w:rPr>
              <w:t>Settling beat. Deliver the single AI sentence on the slide once. No tool names, no prompting advice, no forecasts.</w:t>
            </w:r>
          </w:p>
        </w:tc>
      </w:tr>
      <w:tr>
        <w:trPr>
          <w:cantSplit w:val="true"/>
        </w:trPr>
        <w:tc>
          <w:tcPr>
            <w:tcW w:type="dxa" w:w="1224"/>
          </w:tcPr>
          <w:p>
            <w:r>
              <w:rPr>
                <w:sz w:val="18"/>
              </w:rPr>
              <w:t>31:30–32:30</w:t>
            </w:r>
          </w:p>
        </w:tc>
        <w:tc>
          <w:tcPr>
            <w:tcW w:type="dxa" w:w="792"/>
          </w:tcPr>
          <w:p>
            <w:r>
              <w:rPr>
                <w:sz w:val="18"/>
              </w:rPr>
              <w:t>12</w:t>
            </w:r>
          </w:p>
        </w:tc>
        <w:tc>
          <w:tcPr>
            <w:tcW w:type="dxa" w:w="2808"/>
            <w:shd w:val="clear" w:fill="D9EAD3"/>
          </w:tcPr>
          <w:p>
            <w:r>
              <w:rPr>
                <w:b w:val="0"/>
                <w:color w:val="000000"/>
                <w:sz w:val="18"/>
              </w:rPr>
              <w:t>ACTING ON RECOGNITION ALONE — The Risk of Acting on One Signal</w:t>
            </w:r>
          </w:p>
        </w:tc>
        <w:tc>
          <w:tcPr>
            <w:tcW w:type="dxa" w:w="5256"/>
          </w:tcPr>
          <w:p>
            <w:r>
              <w:rPr>
                <w:sz w:val="17"/>
              </w:rPr>
              <w:t>Read the two costs as conditional. Do not add the date, the price or the link here — the invitation lands two slides later.</w:t>
            </w:r>
          </w:p>
        </w:tc>
      </w:tr>
      <w:tr>
        <w:trPr>
          <w:cantSplit w:val="true"/>
        </w:trPr>
        <w:tc>
          <w:tcPr>
            <w:tcW w:type="dxa" w:w="1224"/>
          </w:tcPr>
          <w:p>
            <w:r>
              <w:rPr>
                <w:sz w:val="18"/>
              </w:rPr>
              <w:t>32:30–33:30</w:t>
            </w:r>
          </w:p>
        </w:tc>
        <w:tc>
          <w:tcPr>
            <w:tcW w:type="dxa" w:w="792"/>
          </w:tcPr>
          <w:p>
            <w:r>
              <w:rPr>
                <w:sz w:val="18"/>
              </w:rPr>
              <w:t>13</w:t>
            </w:r>
          </w:p>
        </w:tc>
        <w:tc>
          <w:tcPr>
            <w:tcW w:type="dxa" w:w="2808"/>
            <w:shd w:val="clear" w:fill="D9EAD3"/>
          </w:tcPr>
          <w:p>
            <w:r>
              <w:rPr>
                <w:b w:val="0"/>
                <w:color w:val="000000"/>
                <w:sz w:val="18"/>
              </w:rPr>
              <w:t>FROM RECOGNITION TO A GUIDED READ — Today helped you spot the pattern. September 23 helps you read the position.</w:t>
            </w:r>
          </w:p>
        </w:tc>
        <w:tc>
          <w:tcPr>
            <w:tcW w:type="dxa" w:w="5256"/>
          </w:tcPr>
          <w:p>
            <w:r>
              <w:rPr>
                <w:sz w:val="17"/>
              </w:rPr>
              <w:t>State the three facts on the face once — September 23 is free, 60 minutes, 6:00 PM CT — and move on.</w:t>
            </w:r>
          </w:p>
        </w:tc>
      </w:tr>
      <w:tr>
        <w:trPr>
          <w:cantSplit w:val="true"/>
        </w:trPr>
        <w:tc>
          <w:tcPr>
            <w:tcW w:type="dxa" w:w="1224"/>
          </w:tcPr>
          <w:p>
            <w:r>
              <w:rPr>
                <w:sz w:val="18"/>
              </w:rPr>
              <w:t>33:30–35:00</w:t>
            </w:r>
          </w:p>
        </w:tc>
        <w:tc>
          <w:tcPr>
            <w:tcW w:type="dxa" w:w="792"/>
          </w:tcPr>
          <w:p>
            <w:r>
              <w:rPr>
                <w:sz w:val="18"/>
              </w:rPr>
              <w:t>14</w:t>
            </w:r>
          </w:p>
        </w:tc>
        <w:tc>
          <w:tcPr>
            <w:tcW w:type="dxa" w:w="2808"/>
            <w:shd w:val="clear" w:fill="D9EAD3"/>
          </w:tcPr>
          <w:p>
            <w:r>
              <w:rPr>
                <w:b w:val="0"/>
                <w:color w:val="000000"/>
                <w:sz w:val="18"/>
              </w:rPr>
              <w:t>TWO WAYS TO CONTINUE — Join me live, or continue privately.</w:t>
            </w:r>
          </w:p>
        </w:tc>
        <w:tc>
          <w:tcPr>
            <w:tcW w:type="dxa" w:w="5256"/>
          </w:tcPr>
          <w:p>
            <w:r>
              <w:rPr>
                <w:sz w:val="17"/>
              </w:rPr>
              <w:t>NINETY SECONDS ONLY. Two routes, neither required. Post both prebuilt chat messages. At 35:00 advance, whether or not you have finished.</w:t>
            </w:r>
          </w:p>
        </w:tc>
      </w:tr>
      <w:tr>
        <w:trPr>
          <w:cantSplit w:val="true"/>
        </w:trPr>
        <w:tc>
          <w:tcPr>
            <w:tcW w:type="dxa" w:w="1224"/>
          </w:tcPr>
          <w:p>
            <w:r>
              <w:rPr>
                <w:sz w:val="18"/>
              </w:rPr>
              <w:t>35:00–45:00</w:t>
            </w:r>
          </w:p>
        </w:tc>
        <w:tc>
          <w:tcPr>
            <w:tcW w:type="dxa" w:w="792"/>
          </w:tcPr>
          <w:p>
            <w:r>
              <w:rPr>
                <w:sz w:val="18"/>
              </w:rPr>
              <w:t>15</w:t>
            </w:r>
          </w:p>
        </w:tc>
        <w:tc>
          <w:tcPr>
            <w:tcW w:type="dxa" w:w="2808"/>
            <w:shd w:val="clear" w:fill="D9EAD3"/>
          </w:tcPr>
          <w:p>
            <w:r>
              <w:rPr>
                <w:b w:val="0"/>
                <w:color w:val="000000"/>
                <w:sz w:val="18"/>
              </w:rPr>
              <w:t>Questions &amp; Applications — Ten minutes for questions.</w:t>
            </w:r>
          </w:p>
        </w:tc>
        <w:tc>
          <w:tcPr>
            <w:tcW w:type="dxa" w:w="5256"/>
          </w:tcPr>
          <w:p>
            <w:r>
              <w:rPr>
                <w:sz w:val="17"/>
              </w:rPr>
              <w:t>Q&amp;A. Read the closing CTA once, then take questions. Answer the principle, not the person's career decision. Close at 45:00.</w:t>
            </w:r>
          </w:p>
        </w:tc>
      </w:tr>
    </w:tbl>
    <w:p>
      <w:pPr>
        <w:spacing w:after="160"/>
      </w:pPr>
      <w:r>
        <w:rPr>
          <w:b/>
          <w:i w:val="0"/>
          <w:color w:val="0F2347"/>
          <w:sz w:val="21"/>
        </w:rPr>
        <w:t>35 minutes teaching and recognition  ·  10 minutes questions  ·  hard stop at 45:00.</w:t>
      </w:r>
    </w:p>
    <w:p>
      <w:pPr>
        <w:spacing w:before="320" w:after="160"/>
      </w:pPr>
      <w:r>
        <w:rPr>
          <w:b/>
          <w:color w:val="0F2347"/>
          <w:sz w:val="32"/>
        </w:rPr>
        <w:t>3. Pre-session checklist</w:t>
      </w:r>
    </w:p>
    <w:p>
      <w:pPr>
        <w:pStyle w:val="ListBullet"/>
        <w:spacing w:after="60"/>
      </w:pPr>
      <w:r>
        <w:rPr>
          <w:color w:val="000000"/>
          <w:sz w:val="19"/>
        </w:rPr>
        <w:t>Correct deck open: How_to_Tell_If_Your_Career_Is_Stalling_Lightning_Lesson_v3.5.0_FINAL.pptx. Downloaded locally, not streamed from a share.</w:t>
      </w:r>
    </w:p>
    <w:p>
      <w:pPr>
        <w:pStyle w:val="ListBullet"/>
        <w:spacing w:after="60"/>
      </w:pPr>
      <w:r>
        <w:rPr>
          <w:color w:val="000000"/>
          <w:sz w:val="19"/>
        </w:rPr>
        <w:t>Slide count reads 16 and slide 16 — the AI appendix — is CONFIRMED HIDDEN. It is not part of the 45 minutes and must not appear in the running order.</w:t>
      </w:r>
    </w:p>
    <w:p>
      <w:pPr>
        <w:pStyle w:val="ListBullet"/>
        <w:spacing w:after="60"/>
      </w:pPr>
      <w:r>
        <w:rPr>
          <w:color w:val="000000"/>
          <w:sz w:val="19"/>
        </w:rPr>
        <w:t>Maven room open and the platform's polling widget tested, or the chat fallback decided, for the opening poll on slide 4.</w:t>
      </w:r>
    </w:p>
    <w:p>
      <w:pPr>
        <w:pStyle w:val="ListBullet"/>
        <w:spacing w:after="60"/>
      </w:pPr>
      <w:r>
        <w:rPr>
          <w:color w:val="000000"/>
          <w:sz w:val="19"/>
        </w:rPr>
        <w:t>Microphone, camera and screen share tested on the machine that will present.</w:t>
      </w:r>
    </w:p>
    <w:p>
      <w:pPr>
        <w:pStyle w:val="ListBullet"/>
        <w:spacing w:after="60"/>
      </w:pPr>
      <w:r>
        <w:rPr>
          <w:color w:val="000000"/>
          <w:sz w:val="19"/>
        </w:rPr>
        <w:t>Timer visible to the facilitator, counting up from 0:00. The 24:00–29:00 writing block and the 33:30–35:00 invitation are the two places timing slips.</w:t>
      </w:r>
    </w:p>
    <w:p>
      <w:pPr>
        <w:pStyle w:val="ListBullet"/>
        <w:spacing w:after="60"/>
      </w:pPr>
      <w:r>
        <w:rPr>
          <w:color w:val="000000"/>
          <w:sz w:val="19"/>
        </w:rPr>
        <w:t>Career Stall Check ready to send AFTER the session as an optional leave-behind. Nobody needs it open to participate — the four prompts are on slide 10.</w:t>
      </w:r>
    </w:p>
    <w:p>
      <w:pPr>
        <w:pStyle w:val="ListBullet"/>
        <w:spacing w:after="60"/>
      </w:pPr>
      <w:r>
        <w:rPr>
          <w:color w:val="000000"/>
          <w:sz w:val="19"/>
        </w:rPr>
        <w:t>September 23 registration link ready to paste: https://maven.com/p/8b3c40/stay-or-leave-live-career-growth-assessment</w:t>
      </w:r>
    </w:p>
    <w:p>
      <w:pPr>
        <w:pStyle w:val="ListBullet"/>
        <w:spacing w:after="60"/>
      </w:pPr>
      <w:r>
        <w:rPr>
          <w:color w:val="000000"/>
          <w:sz w:val="19"/>
        </w:rPr>
        <w:t>Field Kit link ready to paste as the secondary route: https://temidayoafonja.com/fieldkit</w:t>
      </w:r>
    </w:p>
    <w:p>
      <w:pPr>
        <w:pStyle w:val="ListBullet"/>
        <w:spacing w:after="60"/>
      </w:pPr>
      <w:r>
        <w:rPr>
          <w:color w:val="000000"/>
          <w:sz w:val="19"/>
        </w:rPr>
        <w:t>PRE-DELIVERY VERIFICATION — do this last, on the live pages: confirm the Field Kit price still reads $150 and that its route resolves, and confirm the September 23 Maven registration route resolves. If either has changed, say the verified current figure aloud and post it in chat rather than reading the slide.</w:t>
      </w:r>
    </w:p>
    <w:p>
      <w:pPr>
        <w:pStyle w:val="ListBullet"/>
        <w:spacing w:after="60"/>
      </w:pPr>
      <w:r>
        <w:rPr>
          <w:color w:val="000000"/>
          <w:sz w:val="19"/>
        </w:rPr>
        <w:t>Backup internet and a backup device.</w:t>
      </w:r>
    </w:p>
    <w:p>
      <w:pPr>
        <w:spacing w:before="320" w:after="160"/>
      </w:pPr>
      <w:r>
        <w:rPr>
          <w:b/>
          <w:color w:val="0F2347"/>
          <w:sz w:val="32"/>
        </w:rPr>
        <w:t>4. Recording and privacy</w:t>
      </w:r>
    </w:p>
    <w:p>
      <w:pPr>
        <w:keepNext/>
        <w:spacing w:before="240" w:after="80"/>
      </w:pPr>
      <w:r>
        <w:rPr>
          <w:b/>
          <w:color w:val="0F2347"/>
          <w:sz w:val="25"/>
        </w:rPr>
        <w:t>OPEN ITEM — the recording policy is NOT established by this family</w:t>
      </w:r>
    </w:p>
    <w:p>
      <w:pPr>
        <w:spacing w:after="160"/>
      </w:pPr>
      <w:r>
        <w:rPr>
          <w:b w:val="0"/>
          <w:i w:val="0"/>
          <w:color w:val="000000"/>
          <w:sz w:val="19"/>
        </w:rPr>
        <w:t>Flagged rather than invented. The v3.5.0 deck, its speaker notes, the Career Stall Check and the v3.5.0 change log and QA report contain no statement about whether this session is recorded, which portion is recorded, or how a replay may be distributed. This SOP therefore does not state one. The owner must decide before delivery and record the decision here; until then, treat the session as unrecorded and say nothing to the room about a replay. The 60-minute flagship SOP's record-0-to-50 policy belongs to a different session with a different architecture and does not carry over by default.</w:t>
      </w:r>
    </w:p>
    <w:p>
      <w:pPr>
        <w:keepNext/>
        <w:spacing w:before="240" w:after="80"/>
      </w:pPr>
      <w:r>
        <w:rPr>
          <w:b/>
          <w:color w:val="0F2347"/>
          <w:sz w:val="25"/>
        </w:rPr>
        <w:t>What the source family DOES establish, and what to do</w:t>
      </w:r>
    </w:p>
    <w:p>
      <w:pPr>
        <w:pStyle w:val="ListBullet"/>
        <w:spacing w:after="60"/>
      </w:pPr>
      <w:r>
        <w:rPr>
          <w:color w:val="000000"/>
          <w:sz w:val="19"/>
        </w:rPr>
        <w:t>No participant is called on. Slide 10 says so explicitly, and the three quick checks on slides 7, 8 and 9 are answered in chat, in a poll, or privately in writing — the participant's choice.</w:t>
      </w:r>
    </w:p>
    <w:p>
      <w:pPr>
        <w:pStyle w:val="ListBullet"/>
        <w:spacing w:after="60"/>
      </w:pPr>
      <w:r>
        <w:rPr>
          <w:color w:val="000000"/>
          <w:sz w:val="19"/>
        </w:rPr>
        <w:t>Nothing is collected. Do not gather the Career Stall Check answers, do not offer to review anyone's answers during Q&amp;A, and do not score them.</w:t>
      </w:r>
    </w:p>
    <w:p>
      <w:pPr>
        <w:pStyle w:val="ListBullet"/>
        <w:spacing w:after="60"/>
      </w:pPr>
      <w:r>
        <w:rPr>
          <w:color w:val="000000"/>
          <w:sz w:val="19"/>
        </w:rPr>
        <w:t>Individual poll answers are not analysed aloud. If someone starts explaining their situation in detail, thank them briefly and move on without engaging the specifics.</w:t>
      </w:r>
    </w:p>
    <w:p>
      <w:pPr>
        <w:pStyle w:val="ListBullet"/>
        <w:spacing w:after="60"/>
      </w:pPr>
      <w:r>
        <w:rPr>
          <w:color w:val="000000"/>
          <w:sz w:val="19"/>
        </w:rPr>
        <w:t>Participant-specific questions are answered at the level of the principle, never the person's career decision. Slide 15 carries the boundary line to use.</w:t>
      </w:r>
    </w:p>
    <w:p>
      <w:pPr>
        <w:pStyle w:val="ListBullet"/>
        <w:spacing w:after="60"/>
      </w:pPr>
      <w:r>
        <w:rPr>
          <w:color w:val="000000"/>
          <w:sz w:val="19"/>
        </w:rPr>
        <w:t>Do not read highly personal chat material aloud. If a personal question contains a general methodological point, summarise only that point, and only if doing so cannot expose the person.</w:t>
      </w:r>
    </w:p>
    <w:p>
      <w:pPr>
        <w:pStyle w:val="ListBullet"/>
        <w:spacing w:after="60"/>
      </w:pPr>
      <w:r>
        <w:rPr>
          <w:color w:val="000000"/>
          <w:sz w:val="19"/>
        </w:rPr>
        <w:t>Do not name a participant, their employer, or any third party.</w:t>
      </w:r>
    </w:p>
    <w:p>
      <w:pPr>
        <w:spacing w:before="320" w:after="160"/>
      </w:pPr>
      <w:r>
        <w:rPr>
          <w:b/>
          <w:color w:val="0F2347"/>
          <w:sz w:val="32"/>
        </w:rPr>
        <w:t>5. Facilitation guardrails</w:t>
      </w:r>
    </w:p>
    <w:p>
      <w:pPr>
        <w:pStyle w:val="ListBullet"/>
        <w:spacing w:after="60"/>
      </w:pPr>
      <w:r>
        <w:rPr>
          <w:color w:val="000000"/>
          <w:sz w:val="19"/>
        </w:rPr>
        <w:t>Recognition is not a result. A familiar sign is a signal to examine something, not a verdict — slide 11 exists to say this and must not be skipped.</w:t>
      </w:r>
    </w:p>
    <w:p>
      <w:pPr>
        <w:pStyle w:val="ListBullet"/>
        <w:spacing w:after="60"/>
      </w:pPr>
      <w:r>
        <w:rPr>
          <w:color w:val="000000"/>
          <w:sz w:val="19"/>
        </w:rPr>
        <w:t>No stay/leave recommendation, in the teaching or in Q&amp;A. Both costs on slide 12 are conditional; do not imply that leaving is braver or that staying damages a career.</w:t>
      </w:r>
    </w:p>
    <w:p>
      <w:pPr>
        <w:pStyle w:val="ListBullet"/>
        <w:spacing w:after="60"/>
      </w:pPr>
      <w:r>
        <w:rPr>
          <w:color w:val="000000"/>
          <w:sz w:val="19"/>
        </w:rPr>
        <w:t>No Career State placement. The four states are not named, taught or assigned in this lesson.</w:t>
      </w:r>
    </w:p>
    <w:p>
      <w:pPr>
        <w:pStyle w:val="ListBullet"/>
        <w:spacing w:after="60"/>
      </w:pPr>
      <w:r>
        <w:rPr>
          <w:color w:val="000000"/>
          <w:sz w:val="19"/>
        </w:rPr>
        <w:t>No Density or Optionality teaching. Neither axis is taught here; both belong to the September 23 session, and this room has not been given them.</w:t>
      </w:r>
    </w:p>
    <w:p>
      <w:pPr>
        <w:pStyle w:val="ListBullet"/>
        <w:spacing w:after="60"/>
      </w:pPr>
      <w:r>
        <w:rPr>
          <w:color w:val="000000"/>
          <w:sz w:val="19"/>
        </w:rPr>
        <w:t>Slide 6 is a ninety-second positioning beat, not a portability module. Do not work every row, do not rank the columns, and do not assess anyone's portability live.</w:t>
      </w:r>
    </w:p>
    <w:p>
      <w:pPr>
        <w:pStyle w:val="ListBullet"/>
        <w:spacing w:after="60"/>
      </w:pPr>
      <w:r>
        <w:rPr>
          <w:color w:val="000000"/>
          <w:sz w:val="19"/>
        </w:rPr>
        <w:t>Do not imply that all experience transfers. Some things travel and some have to be relearned; starting as a learner is not the same as starting from zero.</w:t>
      </w:r>
    </w:p>
    <w:p>
      <w:pPr>
        <w:pStyle w:val="ListBullet"/>
        <w:spacing w:after="60"/>
      </w:pPr>
      <w:r>
        <w:rPr>
          <w:color w:val="000000"/>
          <w:sz w:val="19"/>
        </w:rPr>
        <w:t>Do not imply that translation guarantees employer acceptance. Being explainable is not the same as being credible to someone outside your organisation.</w:t>
      </w:r>
    </w:p>
    <w:p>
      <w:pPr>
        <w:pStyle w:val="ListBullet"/>
        <w:spacing w:after="60"/>
      </w:pPr>
      <w:r>
        <w:rPr>
          <w:color w:val="000000"/>
          <w:sz w:val="19"/>
        </w:rPr>
        <w:t>Indispensability is not bad. It can be earned and valuable; the misread is assuming it automatically travels.</w:t>
      </w:r>
    </w:p>
    <w:p>
      <w:pPr>
        <w:pStyle w:val="ListBullet"/>
        <w:spacing w:after="60"/>
      </w:pPr>
      <w:r>
        <w:rPr>
          <w:color w:val="000000"/>
          <w:sz w:val="19"/>
        </w:rPr>
        <w:t>Promotions are not bad. The argument is against assuming title growth is automatically capability growth.</w:t>
      </w:r>
    </w:p>
    <w:p>
      <w:pPr>
        <w:pStyle w:val="ListBullet"/>
        <w:spacing w:after="60"/>
      </w:pPr>
      <w:r>
        <w:rPr>
          <w:color w:val="000000"/>
          <w:sz w:val="19"/>
        </w:rPr>
        <w:t>No AI or job-loss predictions. Slide 11 carries one sentence about AI and slide 16 is a hidden appendix. No tool names, no prompting advice, no industry forecasts.</w:t>
      </w:r>
    </w:p>
    <w:p>
      <w:pPr>
        <w:pStyle w:val="ListBullet"/>
        <w:spacing w:after="60"/>
      </w:pPr>
      <w:r>
        <w:rPr>
          <w:color w:val="000000"/>
          <w:sz w:val="19"/>
        </w:rPr>
        <w:t>Performance is real. It is a different signal from formation, not a fake one.</w:t>
      </w:r>
    </w:p>
    <w:p>
      <w:pPr>
        <w:pStyle w:val="ListBullet"/>
        <w:spacing w:after="60"/>
      </w:pPr>
      <w:r>
        <w:rPr>
          <w:color w:val="000000"/>
          <w:sz w:val="19"/>
        </w:rPr>
        <w:t>Use CT or Central Time. Never write or say CST.</w:t>
      </w:r>
    </w:p>
    <w:p>
      <w:pPr>
        <w:spacing w:before="320" w:after="160"/>
      </w:pPr>
      <w:r>
        <w:rPr>
          <w:b/>
          <w:color w:val="0F2347"/>
          <w:sz w:val="32"/>
        </w:rPr>
        <w:t>6. Continuation</w:t>
      </w:r>
    </w:p>
    <w:p>
      <w:pPr>
        <w:spacing w:after="160"/>
      </w:pPr>
      <w:r>
        <w:rPr>
          <w:b w:val="0"/>
          <w:i w:val="0"/>
          <w:color w:val="000000"/>
          <w:sz w:val="19"/>
        </w:rPr>
        <w:t>Two routes, and neither is required. Today is complete on its own — do not describe it as incomplete or as a teaser. No scarcity, no participant cap, no bundle, no offer stacking, and no reference to the retired paid group workshop, its former price, cap or date.</w:t>
      </w:r>
    </w:p>
    <w:p>
      <w:pPr>
        <w:pStyle w:val="ListBullet"/>
        <w:spacing w:after="60"/>
      </w:pPr>
      <w:r>
        <w:rPr>
          <w:color w:val="000000"/>
          <w:sz w:val="19"/>
        </w:rPr>
        <w:t>PRIMARY — the free Stay or Leave? — Live Career Growth Assessment, Wednesday, September 23, 2026, 6:00 PM CT, 60 minutes, free. State those three facts once from the slide face and move on.</w:t>
      </w:r>
    </w:p>
    <w:p>
      <w:pPr>
        <w:pStyle w:val="ListBullet"/>
        <w:spacing w:after="60"/>
      </w:pPr>
      <w:r>
        <w:rPr>
          <w:color w:val="000000"/>
          <w:sz w:val="19"/>
        </w:rPr>
        <w:t>SECONDARY AND PRIVATE — the Capability Formation Field Kit, $150. A 24-page fillable evidence-led assessment worked from the last 90 days, designed to be rerun quarterly. Mention the price only if asked. It is not the full version of either lesson, not required, not included, and not “more worksheets”.</w:t>
      </w:r>
    </w:p>
    <w:p>
      <w:pPr>
        <w:pStyle w:val="ListBullet"/>
        <w:spacing w:after="60"/>
      </w:pPr>
      <w:r>
        <w:rPr>
          <w:color w:val="000000"/>
          <w:sz w:val="19"/>
        </w:rPr>
        <w:t>The live pages are the source of truth for price and route. Verify both immediately before delivery; if either has changed, say the verified current figure aloud and post it in chat rather than reading the slide.</w:t>
      </w:r>
    </w:p>
    <w:p>
      <w:pPr>
        <w:spacing w:before="320" w:after="160"/>
      </w:pPr>
      <w:r>
        <w:rPr>
          <w:b/>
          <w:color w:val="0F2347"/>
          <w:sz w:val="32"/>
        </w:rPr>
        <w:t>7. Q&amp;A boundary — minutes 35 to 45</w:t>
      </w:r>
    </w:p>
    <w:p>
      <w:pPr>
        <w:keepNext/>
        <w:spacing w:before="240" w:after="80"/>
      </w:pPr>
      <w:r>
        <w:rPr>
          <w:b/>
          <w:color w:val="0F2347"/>
          <w:sz w:val="25"/>
        </w:rPr>
        <w:t>Welcome</w:t>
      </w:r>
    </w:p>
    <w:tbl>
      <w:tblPr>
        <w:tblW w:type="auto" w:w="0"/>
        <w:tblLayout w:type="fixed"/>
        <w:tblLook w:firstColumn="1" w:firstRow="1" w:lastColumn="0" w:lastRow="0" w:noHBand="0" w:noVBand="1" w:val="04A0"/>
      </w:tblPr>
      <w:tblGrid>
        <w:gridCol w:w="2880"/>
        <w:gridCol w:w="7200"/>
      </w:tblGrid>
      <w:tr>
        <w:trPr>
          <w:tblHeader w:val="true"/>
          <w:cantSplit w:val="true"/>
        </w:trPr>
        <w:tc>
          <w:tcPr>
            <w:tcW w:type="dxa" w:w="2880"/>
            <w:shd w:val="clear" w:fill="0F2347"/>
          </w:tcPr>
          <w:p>
            <w:r>
              <w:rPr>
                <w:b/>
                <w:color w:val="FFFFFF"/>
                <w:sz w:val="19"/>
              </w:rPr>
              <w:t>Topic</w:t>
            </w:r>
          </w:p>
        </w:tc>
        <w:tc>
          <w:tcPr>
            <w:tcW w:type="dxa" w:w="7200"/>
            <w:shd w:val="clear" w:fill="0F2347"/>
          </w:tcPr>
          <w:p>
            <w:r>
              <w:rPr>
                <w:b/>
                <w:color w:val="FFFFFF"/>
                <w:sz w:val="19"/>
              </w:rPr>
              <w:t>What it sounds like</w:t>
            </w:r>
          </w:p>
        </w:tc>
      </w:tr>
      <w:tr>
        <w:trPr>
          <w:cantSplit w:val="true"/>
        </w:trPr>
        <w:tc>
          <w:tcPr>
            <w:tcW w:type="dxa" w:w="2880"/>
          </w:tcPr>
          <w:p>
            <w:r>
              <w:rPr>
                <w:b/>
                <w:sz w:val="19"/>
              </w:rPr>
              <w:t>Performance versus formation</w:t>
            </w:r>
          </w:p>
        </w:tc>
        <w:tc>
          <w:tcPr>
            <w:tcW w:type="dxa" w:w="7200"/>
          </w:tcPr>
          <w:p>
            <w:r>
              <w:rPr>
                <w:sz w:val="19"/>
              </w:rPr>
              <w:t>How do I tell the difference between delivering value and still being built by the work?</w:t>
            </w:r>
          </w:p>
        </w:tc>
      </w:tr>
      <w:tr>
        <w:trPr>
          <w:cantSplit w:val="true"/>
        </w:trPr>
        <w:tc>
          <w:tcPr>
            <w:tcW w:type="dxa" w:w="2880"/>
          </w:tcPr>
          <w:p>
            <w:r>
              <w:rPr>
                <w:b/>
                <w:sz w:val="19"/>
              </w:rPr>
              <w:t>Portability</w:t>
            </w:r>
          </w:p>
        </w:tc>
        <w:tc>
          <w:tcPr>
            <w:tcW w:type="dxa" w:w="7200"/>
          </w:tcPr>
          <w:p>
            <w:r>
              <w:rPr>
                <w:sz w:val="19"/>
              </w:rPr>
              <w:t>What does portability mean, and what actually travels between contexts?</w:t>
            </w:r>
          </w:p>
        </w:tc>
      </w:tr>
      <w:tr>
        <w:trPr>
          <w:cantSplit w:val="true"/>
        </w:trPr>
        <w:tc>
          <w:tcPr>
            <w:tcW w:type="dxa" w:w="2880"/>
          </w:tcPr>
          <w:p>
            <w:r>
              <w:rPr>
                <w:b/>
                <w:sz w:val="19"/>
              </w:rPr>
              <w:t>Evidence</w:t>
            </w:r>
          </w:p>
        </w:tc>
        <w:tc>
          <w:tcPr>
            <w:tcW w:type="dxa" w:w="7200"/>
          </w:tcPr>
          <w:p>
            <w:r>
              <w:rPr>
                <w:sz w:val="19"/>
              </w:rPr>
              <w:t>What kind of evidence counts, and why the last 90 days rather than a career?</w:t>
            </w:r>
          </w:p>
        </w:tc>
      </w:tr>
      <w:tr>
        <w:trPr>
          <w:cantSplit w:val="true"/>
        </w:trPr>
        <w:tc>
          <w:tcPr>
            <w:tcW w:type="dxa" w:w="2880"/>
          </w:tcPr>
          <w:p>
            <w:r>
              <w:rPr>
                <w:b/>
                <w:sz w:val="19"/>
              </w:rPr>
              <w:t>The three patterns</w:t>
            </w:r>
          </w:p>
        </w:tc>
        <w:tc>
          <w:tcPr>
            <w:tcW w:type="dxa" w:w="7200"/>
          </w:tcPr>
          <w:p>
            <w:r>
              <w:rPr>
                <w:sz w:val="19"/>
              </w:rPr>
              <w:t>Clarifying what each sign is and is not, and how they differ from one another.</w:t>
            </w:r>
          </w:p>
        </w:tc>
      </w:tr>
    </w:tbl>
    <w:p>
      <w:pPr>
        <w:keepNext/>
        <w:spacing w:before="240" w:after="80"/>
      </w:pPr>
      <w:r>
        <w:rPr>
          <w:b/>
          <w:color w:val="0F2347"/>
          <w:sz w:val="25"/>
        </w:rPr>
        <w:t>Redirect</w:t>
      </w:r>
    </w:p>
    <w:tbl>
      <w:tblPr>
        <w:tblW w:type="auto" w:w="0"/>
        <w:tblLayout w:type="fixed"/>
        <w:tblLook w:firstColumn="1" w:firstRow="1" w:lastColumn="0" w:lastRow="0" w:noHBand="0" w:noVBand="1" w:val="04A0"/>
      </w:tblPr>
      <w:tblGrid>
        <w:gridCol w:w="2880"/>
        <w:gridCol w:w="7200"/>
      </w:tblGrid>
      <w:tr>
        <w:trPr>
          <w:tblHeader w:val="true"/>
          <w:cantSplit w:val="true"/>
        </w:trPr>
        <w:tc>
          <w:tcPr>
            <w:tcW w:type="dxa" w:w="2880"/>
            <w:shd w:val="clear" w:fill="0F2347"/>
          </w:tcPr>
          <w:p>
            <w:r>
              <w:rPr>
                <w:b/>
                <w:color w:val="FFFFFF"/>
                <w:sz w:val="19"/>
              </w:rPr>
              <w:t>Question</w:t>
            </w:r>
          </w:p>
        </w:tc>
        <w:tc>
          <w:tcPr>
            <w:tcW w:type="dxa" w:w="7200"/>
            <w:shd w:val="clear" w:fill="0F2347"/>
          </w:tcPr>
          <w:p>
            <w:r>
              <w:rPr>
                <w:b/>
                <w:color w:val="FFFFFF"/>
                <w:sz w:val="19"/>
              </w:rPr>
              <w:t>How to handle it</w:t>
            </w:r>
          </w:p>
        </w:tc>
      </w:tr>
      <w:tr>
        <w:trPr>
          <w:cantSplit w:val="true"/>
        </w:trPr>
        <w:tc>
          <w:tcPr>
            <w:tcW w:type="dxa" w:w="2880"/>
          </w:tcPr>
          <w:p>
            <w:r>
              <w:rPr>
                <w:b/>
                <w:sz w:val="19"/>
              </w:rPr>
              <w:t>“Should I leave?”</w:t>
            </w:r>
          </w:p>
        </w:tc>
        <w:tc>
          <w:tcPr>
            <w:tcW w:type="dxa" w:w="7200"/>
          </w:tcPr>
          <w:p>
            <w:r>
              <w:rPr>
                <w:sz w:val="19"/>
              </w:rPr>
              <w:t>Outside the boundary. Name the limit once and answer the principle instead.</w:t>
            </w:r>
          </w:p>
        </w:tc>
      </w:tr>
      <w:tr>
        <w:trPr>
          <w:cantSplit w:val="true"/>
        </w:trPr>
        <w:tc>
          <w:tcPr>
            <w:tcW w:type="dxa" w:w="2880"/>
          </w:tcPr>
          <w:p>
            <w:r>
              <w:rPr>
                <w:b/>
                <w:sz w:val="19"/>
              </w:rPr>
              <w:t>“What Career State am I in?”</w:t>
            </w:r>
          </w:p>
        </w:tc>
        <w:tc>
          <w:tcPr>
            <w:tcW w:type="dxa" w:w="7200"/>
          </w:tcPr>
          <w:p>
            <w:r>
              <w:rPr>
                <w:sz w:val="19"/>
              </w:rPr>
              <w:t>Not taught here and not assignable from this lesson. That is the September 23 read.</w:t>
            </w:r>
          </w:p>
        </w:tc>
      </w:tr>
      <w:tr>
        <w:trPr>
          <w:cantSplit w:val="true"/>
        </w:trPr>
        <w:tc>
          <w:tcPr>
            <w:tcW w:type="dxa" w:w="2880"/>
          </w:tcPr>
          <w:p>
            <w:r>
              <w:rPr>
                <w:b/>
                <w:sz w:val="19"/>
              </w:rPr>
              <w:t>“Can you score my situation?”</w:t>
            </w:r>
          </w:p>
        </w:tc>
        <w:tc>
          <w:tcPr>
            <w:tcW w:type="dxa" w:w="7200"/>
          </w:tcPr>
          <w:p>
            <w:r>
              <w:rPr>
                <w:sz w:val="19"/>
              </w:rPr>
              <w:t>Nothing is scored today. Redirect calmly: “That is what the full Position Read does. This is recognition.”</w:t>
            </w:r>
          </w:p>
        </w:tc>
      </w:tr>
      <w:tr>
        <w:trPr>
          <w:cantSplit w:val="true"/>
        </w:trPr>
        <w:tc>
          <w:tcPr>
            <w:tcW w:type="dxa" w:w="2880"/>
          </w:tcPr>
          <w:p>
            <w:r>
              <w:rPr>
                <w:b/>
                <w:sz w:val="19"/>
              </w:rPr>
              <w:t>“What should I do about my manager or employer?”</w:t>
            </w:r>
          </w:p>
        </w:tc>
        <w:tc>
          <w:tcPr>
            <w:tcW w:type="dxa" w:w="7200"/>
          </w:tcPr>
          <w:p>
            <w:r>
              <w:rPr>
                <w:sz w:val="19"/>
              </w:rPr>
              <w:t>Do not diagnose an employer or a named individual.</w:t>
            </w:r>
          </w:p>
        </w:tc>
      </w:tr>
      <w:tr>
        <w:trPr>
          <w:cantSplit w:val="true"/>
        </w:trPr>
        <w:tc>
          <w:tcPr>
            <w:tcW w:type="dxa" w:w="2880"/>
          </w:tcPr>
          <w:p>
            <w:r>
              <w:rPr>
                <w:b/>
                <w:sz w:val="19"/>
              </w:rPr>
              <w:t>“Which AI tool should I use?”</w:t>
            </w:r>
          </w:p>
        </w:tc>
        <w:tc>
          <w:tcPr>
            <w:tcW w:type="dxa" w:w="7200"/>
          </w:tcPr>
          <w:p>
            <w:r>
              <w:rPr>
                <w:sz w:val="19"/>
              </w:rPr>
              <w:t>Decline: “That's outside today's scope — this is about the reading, not the tools.”</w:t>
            </w:r>
          </w:p>
        </w:tc>
      </w:tr>
    </w:tbl>
    <w:p>
      <w:pPr>
        <w:spacing w:after="160"/>
      </w:pPr>
      <w:r>
        <w:rPr>
          <w:b/>
          <w:i w:val="0"/>
          <w:color w:val="0F2347"/>
          <w:sz w:val="21"/>
        </w:rPr>
        <w:t>The boundary line, as it appears on slide 15: “I can help you clarify what the pattern suggests examining. I cannot make the employment decision for you.”</w:t>
      </w:r>
    </w:p>
    <w:p>
      <w:pPr>
        <w:spacing w:before="320" w:after="160"/>
      </w:pPr>
      <w:r>
        <w:rPr>
          <w:b/>
          <w:color w:val="0F2347"/>
          <w:sz w:val="32"/>
        </w:rPr>
        <w:t>8. Day-of chat copy</w:t>
      </w:r>
    </w:p>
    <w:p>
      <w:pPr>
        <w:spacing w:after="160"/>
      </w:pPr>
      <w:r>
        <w:rPr>
          <w:b w:val="0"/>
          <w:i w:val="0"/>
          <w:color w:val="000000"/>
          <w:sz w:val="19"/>
        </w:rPr>
        <w:t>Paste as written. These two are the only calls to action in this session; do not add a third, and do not post the retired newsletter CTA. Both QR codes on slide 14 resolve to these same two links.</w:t>
      </w:r>
    </w:p>
    <w:p>
      <w:pPr>
        <w:keepNext/>
        <w:spacing w:before="240" w:after="80"/>
      </w:pPr>
      <w:r>
        <w:rPr>
          <w:b/>
          <w:color w:val="0F2347"/>
          <w:sz w:val="25"/>
        </w:rPr>
        <w:t>Primary</w:t>
      </w:r>
    </w:p>
    <w:p>
      <w:pPr>
        <w:spacing w:after="160"/>
      </w:pPr>
      <w:r>
        <w:rPr>
          <w:b w:val="0"/>
          <w:i w:val="0"/>
          <w:color w:val="000000"/>
          <w:sz w:val="19"/>
        </w:rPr>
        <w:t>Join the free September 23 session:</w:t>
        <w:br/>
        <w:t>https://maven.com/p/8b3c40/stay-or-leave-live-career-growth-assessment</w:t>
      </w:r>
    </w:p>
    <w:p>
      <w:pPr>
        <w:keepNext/>
        <w:spacing w:before="240" w:after="80"/>
      </w:pPr>
      <w:r>
        <w:rPr>
          <w:b/>
          <w:color w:val="0F2347"/>
          <w:sz w:val="25"/>
        </w:rPr>
        <w:t>Secondary</w:t>
      </w:r>
    </w:p>
    <w:p>
      <w:pPr>
        <w:spacing w:after="160"/>
      </w:pPr>
      <w:r>
        <w:rPr>
          <w:b w:val="0"/>
          <w:i w:val="0"/>
          <w:color w:val="000000"/>
          <w:sz w:val="19"/>
        </w:rPr>
        <w:t>Prefer to continue privately? Explore the Capability Formation Field Kit:</w:t>
        <w:br/>
        <w:t>https://temidayoafonja.com/fieldkit</w:t>
      </w:r>
    </w:p>
    <w:p>
      <w:pPr>
        <w:spacing w:before="320" w:after="160"/>
      </w:pPr>
      <w:r>
        <w:rPr>
          <w:b/>
          <w:color w:val="0F2347"/>
          <w:sz w:val="32"/>
        </w:rPr>
        <w:t>9. Status and versioning</w:t>
      </w:r>
    </w:p>
    <w:p>
      <w:pPr>
        <w:pStyle w:val="ListBullet"/>
        <w:spacing w:after="60"/>
      </w:pPr>
      <w:r>
        <w:rPr>
          <w:color w:val="000000"/>
          <w:sz w:val="19"/>
        </w:rPr>
        <w:t>This SOP is v1.0 FINAL and governs deck v3.5.0 FINAL. It is a new document, not a revision of Facilitator Guide v3.2.</w:t>
      </w:r>
    </w:p>
    <w:p>
      <w:pPr>
        <w:pStyle w:val="ListBullet"/>
        <w:spacing w:after="60"/>
      </w:pPr>
      <w:r>
        <w:rPr>
          <w:color w:val="000000"/>
          <w:sz w:val="19"/>
        </w:rPr>
        <w:t>Source of truth for delivery: the v3.5.0 deck and its speaker notes. This SOP restates them; it does not extend them.</w:t>
      </w:r>
    </w:p>
    <w:p>
      <w:pPr>
        <w:pStyle w:val="ListBullet"/>
        <w:spacing w:after="60"/>
      </w:pPr>
      <w:r>
        <w:rPr>
          <w:color w:val="000000"/>
          <w:sz w:val="19"/>
        </w:rPr>
        <w:t>Superseded, not to be used: Facilitator Guide v3.2, and the Lightning Lesson v3.2 Change Log and Timing Map. The Day-of Control Sheet and Rehearsal Protocol v1.0 belong to a different, retired session.</w:t>
      </w:r>
    </w:p>
    <w:p>
      <w:pPr>
        <w:pStyle w:val="ListBullet"/>
        <w:spacing w:after="60"/>
      </w:pPr>
      <w:r>
        <w:rPr>
          <w:color w:val="000000"/>
          <w:sz w:val="19"/>
        </w:rPr>
        <w:t>One open item stands: the recording policy in section 4. Resolve it before delivery.</w:t>
      </w:r>
    </w:p>
    <w:p>
      <w:pPr>
        <w:spacing w:after="0"/>
      </w:pPr>
      <w:r>
        <w:rPr>
          <w:b w:val="0"/>
          <w:i/>
          <w:color w:val="555555"/>
          <w:sz w:val="16"/>
        </w:rPr>
        <w:t>CAREER STALLING SOP v1.0 FINAL  ·  SEPTEMBER 9, 2026  ·  INTERNAL ONLY  ·  Prepared Friday, September 4, 2026 at 6:40 AM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